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Siddhi Bharadwaj</w:t>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Pleasant Valley High School</w:t>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Riverdale, IA, United States</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India, Malnutrition </w:t>
      </w:r>
    </w:p>
    <w:p w:rsidR="00000000" w:rsidDel="00000000" w:rsidP="00000000" w:rsidRDefault="00000000" w:rsidRPr="00000000" w14:paraId="00000005">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Holistic Approach to Addressing India’s Anemia Crisis Among Women and Children</w:t>
      </w:r>
    </w:p>
    <w:p w:rsidR="00000000" w:rsidDel="00000000" w:rsidP="00000000" w:rsidRDefault="00000000" w:rsidRPr="00000000" w14:paraId="00000007">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 </w:t>
      </w:r>
    </w:p>
    <w:p w:rsidR="00000000" w:rsidDel="00000000" w:rsidP="00000000" w:rsidRDefault="00000000" w:rsidRPr="00000000" w14:paraId="00000009">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Today, anemia affects close to 2 billion people, 840 million of them being women of reproductive age and children under 5 years of age. Women are ten times more likely to suffer from anemia than men, and in America, the condition affects 20% of women (“Five Fast Facts About Anemia”). In India, that value is nearly three times as much (Chakrabarty et al.). </w:t>
      </w:r>
    </w:p>
    <w:p w:rsidR="00000000" w:rsidDel="00000000" w:rsidP="00000000" w:rsidRDefault="00000000" w:rsidRPr="00000000" w14:paraId="0000000B">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Background</w:t>
      </w:r>
    </w:p>
    <w:p w:rsidR="00000000" w:rsidDel="00000000" w:rsidP="00000000" w:rsidRDefault="00000000" w:rsidRPr="00000000" w14:paraId="0000000D">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24"/>
          <w:szCs w:val="24"/>
          <w:shd w:fill="f8f9fa" w:val="clear"/>
        </w:rPr>
      </w:pPr>
      <w:r w:rsidDel="00000000" w:rsidR="00000000" w:rsidRPr="00000000">
        <w:rPr>
          <w:rFonts w:ascii="Times New Roman" w:cs="Times New Roman" w:eastAsia="Times New Roman" w:hAnsi="Times New Roman"/>
          <w:sz w:val="24"/>
          <w:szCs w:val="24"/>
          <w:rtl w:val="0"/>
        </w:rPr>
        <w:t xml:space="preserve">Of the 1.4 billion people in India, 64% and 34% live in rural and urban areas respectively. 60.5% of the land is cultivated, yet many do not have access to nutritious food. India exports a plethora of crops including sugarcane, rice, wheat, potatoes, vegetables, bananas, and onions (“India”). However, while the country exports a large amount of food, the average farm size is only 2.67 acres compared to 463 acres in the U.S (</w:t>
      </w:r>
      <w:r w:rsidDel="00000000" w:rsidR="00000000" w:rsidRPr="00000000">
        <w:rPr>
          <w:rFonts w:ascii="Times New Roman" w:cs="Times New Roman" w:eastAsia="Times New Roman" w:hAnsi="Times New Roman"/>
          <w:sz w:val="24"/>
          <w:szCs w:val="24"/>
          <w:shd w:fill="f8f9fa" w:val="clear"/>
          <w:rtl w:val="0"/>
        </w:rPr>
        <w:t xml:space="preserve">“The Average Indian Farmer”). The average family in India consists of 4-5 people </w:t>
      </w:r>
      <w:r w:rsidDel="00000000" w:rsidR="00000000" w:rsidRPr="00000000">
        <w:rPr>
          <w:rFonts w:ascii="Times New Roman" w:cs="Times New Roman" w:eastAsia="Times New Roman" w:hAnsi="Times New Roman"/>
          <w:sz w:val="24"/>
          <w:szCs w:val="24"/>
          <w:rtl w:val="0"/>
        </w:rPr>
        <w:t xml:space="preserve">(“Average Size of Households”). </w:t>
      </w:r>
      <w:r w:rsidDel="00000000" w:rsidR="00000000" w:rsidRPr="00000000">
        <w:rPr>
          <w:rFonts w:ascii="Times New Roman" w:cs="Times New Roman" w:eastAsia="Times New Roman" w:hAnsi="Times New Roman"/>
          <w:sz w:val="24"/>
          <w:szCs w:val="24"/>
          <w:shd w:fill="f8f9fa" w:val="clear"/>
          <w:rtl w:val="0"/>
        </w:rPr>
        <w:t xml:space="preserve">Rice is a staple for families in South India while North Indian families typically consume wheat-based breads. It is common for families in both regions to incorporate fruit, vegetables, and yogurt, if they have the money for it, into their diet (“Indian Culture &amp; Foods”). </w:t>
      </w:r>
    </w:p>
    <w:p w:rsidR="00000000" w:rsidDel="00000000" w:rsidP="00000000" w:rsidRDefault="00000000" w:rsidRPr="00000000" w14:paraId="0000000F">
      <w:pPr>
        <w:spacing w:line="240" w:lineRule="auto"/>
        <w:rPr>
          <w:rFonts w:ascii="Times New Roman" w:cs="Times New Roman" w:eastAsia="Times New Roman" w:hAnsi="Times New Roman"/>
          <w:sz w:val="24"/>
          <w:szCs w:val="24"/>
          <w:shd w:fill="f8f9fa" w:val="clear"/>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Accessibility and affordability are improving but there is also an increase in non-communicable diseases, and many rural communities are still affected by a lack of access to healthcare (Kumar). As of 2020, India had .74 physicians/1000 population and 0.5 hospital beds/1000 population, and 16.6% of the population used unhygienic sanitation facilities. (“India”). Education is becoming more accessible, but marginalized communities are still affected. The national government is working with state governments and ministries to provide quality education for more students. School is expensive in India, and financial barriers may deepen the inequality in access to quality education. Parents often have to go out of their way to look for quality schools that have open seats. Over 4/5ths of India’s male population can read and write, but not even 2/3rds of the female population are able to. The school life expectancy in India is 12 years (“India”). </w:t>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Challenge and Impact</w:t>
      </w:r>
    </w:p>
    <w:p w:rsidR="00000000" w:rsidDel="00000000" w:rsidP="00000000" w:rsidRDefault="00000000" w:rsidRPr="00000000" w14:paraId="00000013">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Anemia affects 61.5% of female adolescents, 59.2% of uneducated women, 52.2% of pregnant women, and 61.9% of women from the poorest quintile in India. Compared to well-educated women, uneducated women have quadruple the risk of severe anemia. Child marriage is also linked with a higher occurrence of anemia, and adolescent female rural populations were more vulnerable to anemia. Diabetic and amenorrheic women and those with lower Body Mass Index scores saw a more widespread occurrence of the condition (Chakrabarty et al.). Children of undereducated women and women who have birthed 5 or more children are more susceptible to anemia, and those with uneducated mothers have a 40% greater chance of becoming anemic (</w:t>
      </w:r>
      <w:r w:rsidDel="00000000" w:rsidR="00000000" w:rsidRPr="00000000">
        <w:rPr>
          <w:rFonts w:ascii="Times New Roman" w:cs="Times New Roman" w:eastAsia="Times New Roman" w:hAnsi="Times New Roman"/>
          <w:sz w:val="24"/>
          <w:szCs w:val="24"/>
          <w:rtl w:val="0"/>
        </w:rPr>
        <w:t xml:space="preserve">Vegi</w:t>
      </w:r>
      <w:r w:rsidDel="00000000" w:rsidR="00000000" w:rsidRPr="00000000">
        <w:rPr>
          <w:rFonts w:ascii="Times New Roman" w:cs="Times New Roman" w:eastAsia="Times New Roman" w:hAnsi="Times New Roman"/>
          <w:sz w:val="24"/>
          <w:szCs w:val="24"/>
          <w:rtl w:val="0"/>
        </w:rPr>
        <w:t xml:space="preserve"> et al.) Rural and uneducated women experience a higher likelihood of developing anemia than their urban and well-educated counterparts. In fact, Anemia affects a greater percentage of women from socioeconomically disadvantaged groups like Scheduled Tribes and Scheduled Castes. Specifically, the most impoverished women from these groups are at a higher risk of suffering from the condition (Sharif et al.).  </w:t>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Linked with one’s level of education and socioeconomic status, iron deficiency is the predominant cause of anemia in India. Iron-deficiency anemia, while affecting many, is more prevalent among vegetarian women (Rammohan et al.). The iron intake of India’s large vegetarian population is determined by consumption of foods such as legumes, beans, nuts, fruits, and vegetables. Although these foods are sources of iron, they contain non-heme iron whereas meat products have heme-iron, resulting in better iron metabolism and bioavailability (Bhatnagar and Padilla-Zakour). Iron deficiency anemia has a higher likelihood of occurring among women facing food insecurity and poverty (Rammohan et al.). In an attempt to solve these problems, production of wheat and rice increased, allowing many to afford and consume these crops. However, this shifted India’s focus to ensuring the population consumes an adequate amount of calories rather than a variety of nutrients which is essential for iron bioavailability. Cultural household expectations for Indian women to eat last could also increase food insecurity, which as mentioned before, is a cause of iron-deficiency anemia (Bhatnagar and Padilla-Zakour).</w:t>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Iron-deficiency anemia, prevalent among children and women of reproductive age (WRAs), also affects these groups the most. One out of five occurrences of maternal mortality is attributed to anemia (Anand et al.). Women with iron-deficiency anemia are more likely to have new-borns with lower birth weights. This calls for repeated blood testing of new-borns, elevating the risk of developing iron-deficiency anemia. Anemia takes a toll on both the physical and mental health of women; symptoms like tiredness and dyspnea can cause depression and pose challenges to their ability to complete daily tasks (Chakrabarty et al.)</w:t>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Existing Solutions</w:t>
      </w:r>
    </w:p>
    <w:p w:rsidR="00000000" w:rsidDel="00000000" w:rsidP="00000000" w:rsidRDefault="00000000" w:rsidRPr="00000000" w14:paraId="0000001B">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the National Iron Plus Initiative Program and the Weekly Iron and Folic Acid Supplementation Program, the Indian government has supplied children, adolescent schoolgirls, and women of reproductive age with Iron and Folic Acid (IFA) tablets free of cost. However, these programs fail to provide these IFA tablets to nonpregnant women of reproductive age who do not attend school. These girls are often more likely to get pregnant and from low-income families, making them highly susceptible to anemia. There are also misconceptions and stigmas surrounding the use of IFA tablets, and the views held within a woman’s community play a large role in whether or not she takes the supplement (Diamond-Smith et al.).</w:t>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2018, India started Anemia Mukt Bharat, an initiative with the goal of reducing the amount of the population affected by anemia from half to less than one-third from 2016 to 2022. This program targets children under 5 and 10 years of age, adolescents, WRAs, pregnant women, and nursing mothers. Actions taken by the program include distributing IFA supplements and IFA fortification of foods, and improving behavior change communication. This program has had success in IFA supplementation in school-going adolescent girls and pregnant women with percentages increasing from 22.6% to 39.7% and 77.7% to 90.3% respectively from 2017 to 2020. However, in 2020, a greater percentage of school-going adolescent boys </w:t>
      </w:r>
      <w:r w:rsidDel="00000000" w:rsidR="00000000" w:rsidRPr="00000000">
        <w:rPr>
          <w:rFonts w:ascii="Times New Roman" w:cs="Times New Roman" w:eastAsia="Times New Roman" w:hAnsi="Times New Roman"/>
          <w:sz w:val="24"/>
          <w:szCs w:val="24"/>
          <w:rtl w:val="0"/>
        </w:rPr>
        <w:t xml:space="preserve">were</w:t>
      </w:r>
      <w:r w:rsidDel="00000000" w:rsidR="00000000" w:rsidRPr="00000000">
        <w:rPr>
          <w:rFonts w:ascii="Times New Roman" w:cs="Times New Roman" w:eastAsia="Times New Roman" w:hAnsi="Times New Roman"/>
          <w:sz w:val="24"/>
          <w:szCs w:val="24"/>
          <w:rtl w:val="0"/>
        </w:rPr>
        <w:t xml:space="preserve"> covered by IFA supplements than their female counterparts (Joe et al.). The program could shift its focus more on women as anemia can have detrimental effects to their reproductive health and trickle down to their birthed children.</w:t>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Solution Recommendation</w:t>
      </w: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address India’s struggle with anemia in women, a holistic approach centered on education would be most effective for rural communities. Awareness through education is the most powerful tool in solving India’s anemia crisis. Rural communities have the lowest literacy rates among women due to a lack of secondary schooling, often resulting in child marriage. Rural women are among the most highly susceptible to anemia, and it is important they obtain at least a secondary education. Education is also a ticket to economic security, which in itself will lower the likelihood of developing anemia. For increased secondary school attendance among rural women, government action is necessary. This can be in the form of campaigns promoting secondary education for women or mandates requiring students to attend the entirety of secondary school. These campaigns may conflict with traditional norms of women staying at home and doing household chores, but with priority being placed on solving this public health crisis among Indian women, the government and campaigns must protect women’s right to education and opportunity. </w:t>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Along with keeping rural women in school, modifications to school curriculums will directly assist women with anemia management. These modifications can be executed in two steps.</w:t>
      </w:r>
    </w:p>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1: Improving Access to Technology and Incorporating Digital Literacy Programs</w:t>
      </w:r>
    </w:p>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world that is seeing rapid advancements in technology, it is important that women and children in rural Indian communities have access to the digital resources they need. Technology can help women diagnose their anemia and determine its causes. The Ruby app, formerly AnemoCheck Mobile, utilizes a simple and non-invasive approach for anemia detection: users take a photo of their fingernails and receive an Iron Score based on the app’s assessment of the pallor of their fingernail beds (“Meet Ruby”). Such apps along with access to telehealth professionals can lead to early detection and diagnosis of anemia, which otherwise may not be practicable in areas with low physician densities. </w:t>
      </w:r>
    </w:p>
    <w:p w:rsidR="00000000" w:rsidDel="00000000" w:rsidP="00000000" w:rsidRDefault="00000000" w:rsidRPr="00000000" w14:paraId="00000029">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many rural communities lack access to electronic devices and internet connection, and only 42% of rural women have access to mobile phones (Scott et al.) Efforts to resolve this are in place. The Haryana Government’s Department of Education is working to equip students in grades 8-12 with free tablets, enabling access to 2 GB of monthly data, educational platforms, and an individualized learning experience (“e-Adhigam Scheme”). Other states can launch similar initiatives to improve rural schools’ access to digital devices. BharatNet, which aims to provide internet connection to communities in remote areas, is funded by the Indian Government’s Digital Bharat Nidhi. In conjunction with BharatNet, the government has reached over 625,000 villages (“Extending Internet Access”). The continuation of these programs is contingent on government funding, likely through taxpayer money and donations. The Indian Government can also increase the budget for the Department of Education while adjusting other sectors’ budgets accordingly. Enabling access to the digital world and incorporating digital literacy programs into schools’ curricula will shape informed, digital citizens. </w:t>
      </w:r>
    </w:p>
    <w:p w:rsidR="00000000" w:rsidDel="00000000" w:rsidP="00000000" w:rsidRDefault="00000000" w:rsidRPr="00000000" w14:paraId="0000002B">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education itself leads to higher earning potential in the long-run, digital literacy programs can help keep rural communities in the loop, improving personal finances: “</w:t>
      </w:r>
      <w:r w:rsidDel="00000000" w:rsidR="00000000" w:rsidRPr="00000000">
        <w:rPr>
          <w:rFonts w:ascii="Times New Roman" w:cs="Times New Roman" w:eastAsia="Times New Roman" w:hAnsi="Times New Roman"/>
          <w:sz w:val="24"/>
          <w:szCs w:val="24"/>
          <w:rtl w:val="0"/>
        </w:rPr>
        <w:t xml:space="preserve">Village women now check crop prices before selling their produce instead of accepting whatever local traders offer. They know market rates, weather forecasts, and government scheme updates in real-time. This information access alone has increased agricultural incomes across entire districts” (“What is Digital Literacy?”). The instantaneous updates and connections that internet access provides to rural communities can help mitigate economic hardship which is linked with anemia. Digital literacy programs will prepare internet users’ to make the most out of their internet experience while staying safe online.</w:t>
      </w:r>
    </w:p>
    <w:p w:rsidR="00000000" w:rsidDel="00000000" w:rsidP="00000000" w:rsidRDefault="00000000" w:rsidRPr="00000000" w14:paraId="0000002D">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2: Nutrition Education in Schools’ Curricula</w:t>
      </w:r>
    </w:p>
    <w:p w:rsidR="00000000" w:rsidDel="00000000" w:rsidP="00000000" w:rsidRDefault="00000000" w:rsidRPr="00000000" w14:paraId="0000002F">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Distributing electronic devices and providing internet connection to rural schools and communities open the door to more possibilities. Incorporating nutrition education into schools’ curricula will help raise awareness about anemia prevention and treatment among school-going adolescents. A nutrition education program was implemented into three schools in the state of Karnataka, and its results showed increased knowledge of nutrition and a better attitude towards IFA-supplementation among students. Students even shared their knowledge with their families, demonstrating the power of one’s education as an outlet for the exponential spread of knowledge (Salam et al.). Nutrition education would also help vegetarian students and their families understand the foods and nutrients they need to consume to increase their iron bioavailability. Considering that attitudes towards IFA-supplementation were positive after implementation of the program, nutrition education could play a significant role in the success of Anemia Mukt Bharat. </w:t>
      </w:r>
    </w:p>
    <w:p w:rsidR="00000000" w:rsidDel="00000000" w:rsidP="00000000" w:rsidRDefault="00000000" w:rsidRPr="00000000" w14:paraId="00000031">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in-person nutrition education is effective, online lessons create a faster and widespread impact. Establishing government-approved platforms in which accredited experts and professionals share nutrition tips gives students access to a plethora of information at their fingertips. Experts may need to volunteer their time, but even the fifteen minutes one spends making and posting a video can impact millions of women. </w:t>
      </w:r>
    </w:p>
    <w:p w:rsidR="00000000" w:rsidDel="00000000" w:rsidP="00000000" w:rsidRDefault="00000000" w:rsidRPr="00000000" w14:paraId="00000033">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4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Nutrition education is a step in improving women’s health, but it is important to note that nutrition education in itself won’t solve India’s anemia crisis. The knowledge gained must be applied, and not all women may have access to certain foods and iron supplements. Still, simple changes can lead to progress. Nuts and seeds like almonds and cashews along with vegetables and fruits such as spinach and black olives are iron-rich. If supplemented with foods high in Vitamin C, these vegetarian iron sources can increase iron bioavailability in women (Petre). </w:t>
      </w:r>
      <w:r w:rsidDel="00000000" w:rsidR="00000000" w:rsidRPr="00000000">
        <w:rPr>
          <w:rFonts w:ascii="Times New Roman" w:cs="Times New Roman" w:eastAsia="Times New Roman" w:hAnsi="Times New Roman"/>
          <w:sz w:val="24"/>
          <w:szCs w:val="24"/>
          <w:highlight w:val="white"/>
          <w:rtl w:val="0"/>
        </w:rPr>
        <w:t xml:space="preserve">While not everything a student learns in nutrition lessons may be easily applicable, the tips they are able to follow can help prevent anemia and boost their well-being. </w:t>
      </w:r>
    </w:p>
    <w:p w:rsidR="00000000" w:rsidDel="00000000" w:rsidP="00000000" w:rsidRDefault="00000000" w:rsidRPr="00000000" w14:paraId="00000035">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Empowering education among women through the incorporation of digital literacy and nutrition lessons into schools’ curricula is the answer to India’s anemia crisis.</w:t>
      </w:r>
    </w:p>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Conclusion</w:t>
      </w:r>
      <w:r w:rsidDel="00000000" w:rsidR="00000000" w:rsidRPr="00000000">
        <w:rPr>
          <w:rtl w:val="0"/>
        </w:rPr>
      </w:r>
    </w:p>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anemia affects a large amount of India’s female population, especially in rural and underserved communities where there is a lack of access to education and healthcare. Anemia not only takes a toll on the physical and mental health of the women it affects; it deprives women of quality of life and energy, affecting their family and children. Providing women with a comprehensive education including digital literacy and nutrition lessons will enable them to detect and manage anemia effectively through utilization of apps like Ruby and consumption of iron-rich foods and IFA supplements. The benefits of education will extend well beyond solving the crisis of anemia in Indian women. As Brigham Young once said, “You educate a man, you educate a man. You educate a woman, you educate a generation.”</w:t>
      </w:r>
    </w:p>
    <w:p w:rsidR="00000000" w:rsidDel="00000000" w:rsidP="00000000" w:rsidRDefault="00000000" w:rsidRPr="00000000" w14:paraId="0000003A">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B">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C">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D">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E">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F">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0">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1">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2">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3">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4">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5">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6">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7">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8">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9">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A">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B">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C">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D">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E">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F">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0">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1">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2">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3">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4">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5">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6">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7">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8">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9">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A">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B">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w:t>
      </w:r>
    </w:p>
    <w:p w:rsidR="00000000" w:rsidDel="00000000" w:rsidP="00000000" w:rsidRDefault="00000000" w:rsidRPr="00000000" w14:paraId="0000005E">
      <w:pPr>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Anand, Tanu, et al. “Issues in prevention of iron deficiency anemia in India.” </w:t>
      </w:r>
      <w:r w:rsidDel="00000000" w:rsidR="00000000" w:rsidRPr="00000000">
        <w:rPr>
          <w:rFonts w:ascii="Times New Roman" w:cs="Times New Roman" w:eastAsia="Times New Roman" w:hAnsi="Times New Roman"/>
          <w:i w:val="1"/>
          <w:sz w:val="24"/>
          <w:szCs w:val="24"/>
          <w:rtl w:val="0"/>
        </w:rPr>
        <w:t xml:space="preserve">National Institute of Health</w:t>
      </w:r>
      <w:r w:rsidDel="00000000" w:rsidR="00000000" w:rsidRPr="00000000">
        <w:rPr>
          <w:rFonts w:ascii="Times New Roman" w:cs="Times New Roman" w:eastAsia="Times New Roman" w:hAnsi="Times New Roman"/>
          <w:sz w:val="24"/>
          <w:szCs w:val="24"/>
          <w:rtl w:val="0"/>
        </w:rPr>
        <w:t xml:space="preserve">, PubMed Central, 2014, https://pubmed.ncbi.nlm.nih.gov/24984990/.</w:t>
      </w:r>
    </w:p>
    <w:p w:rsidR="00000000" w:rsidDel="00000000" w:rsidP="00000000" w:rsidRDefault="00000000" w:rsidRPr="00000000" w14:paraId="0000005F">
      <w:pPr>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Average Indian Farmer Is Poor Because The Average Indian Farm Is Small.” </w:t>
      </w:r>
      <w:r w:rsidDel="00000000" w:rsidR="00000000" w:rsidRPr="00000000">
        <w:rPr>
          <w:rFonts w:ascii="Times New Roman" w:cs="Times New Roman" w:eastAsia="Times New Roman" w:hAnsi="Times New Roman"/>
          <w:i w:val="1"/>
          <w:sz w:val="24"/>
          <w:szCs w:val="24"/>
          <w:rtl w:val="0"/>
        </w:rPr>
        <w:t xml:space="preserve">Adam Smith Institute</w:t>
      </w:r>
      <w:r w:rsidDel="00000000" w:rsidR="00000000" w:rsidRPr="00000000">
        <w:rPr>
          <w:rFonts w:ascii="Times New Roman" w:cs="Times New Roman" w:eastAsia="Times New Roman" w:hAnsi="Times New Roman"/>
          <w:sz w:val="24"/>
          <w:szCs w:val="24"/>
          <w:rtl w:val="0"/>
        </w:rPr>
        <w:t xml:space="preserve">, Adam Smith Institute, https://www.adamsmith.org/blog/the-average-indian-farmer-is-poor-because-the-average-indian-farm-is-small.</w:t>
      </w:r>
    </w:p>
    <w:p w:rsidR="00000000" w:rsidDel="00000000" w:rsidP="00000000" w:rsidRDefault="00000000" w:rsidRPr="00000000" w14:paraId="00000060">
      <w:pPr>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 Size of Households in India (2010 - 2021).” </w:t>
      </w:r>
      <w:r w:rsidDel="00000000" w:rsidR="00000000" w:rsidRPr="00000000">
        <w:rPr>
          <w:rFonts w:ascii="Times New Roman" w:cs="Times New Roman" w:eastAsia="Times New Roman" w:hAnsi="Times New Roman"/>
          <w:i w:val="1"/>
          <w:sz w:val="24"/>
          <w:szCs w:val="24"/>
          <w:rtl w:val="0"/>
        </w:rPr>
        <w:t xml:space="preserve">GlobalData</w:t>
      </w:r>
      <w:r w:rsidDel="00000000" w:rsidR="00000000" w:rsidRPr="00000000">
        <w:rPr>
          <w:rFonts w:ascii="Times New Roman" w:cs="Times New Roman" w:eastAsia="Times New Roman" w:hAnsi="Times New Roman"/>
          <w:sz w:val="24"/>
          <w:szCs w:val="24"/>
          <w:rtl w:val="0"/>
        </w:rPr>
        <w:t xml:space="preserve">, GlobalData, https://www.globaldata.com/data-insights/macroeconomic/average-household-size-in-india-2096125/.</w:t>
      </w:r>
    </w:p>
    <w:p w:rsidR="00000000" w:rsidDel="00000000" w:rsidP="00000000" w:rsidRDefault="00000000" w:rsidRPr="00000000" w14:paraId="00000061">
      <w:pPr>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Bhatnagar, Rohil, and Olga Padilla-Zakour. “Plant-Based Dietary Practices and Socioeconomic Factors That Influence Anemia in India.” </w:t>
      </w:r>
      <w:r w:rsidDel="00000000" w:rsidR="00000000" w:rsidRPr="00000000">
        <w:rPr>
          <w:rFonts w:ascii="Times New Roman" w:cs="Times New Roman" w:eastAsia="Times New Roman" w:hAnsi="Times New Roman"/>
          <w:i w:val="1"/>
          <w:sz w:val="24"/>
          <w:szCs w:val="24"/>
          <w:rtl w:val="0"/>
        </w:rPr>
        <w:t xml:space="preserve">National Institute of Health</w:t>
      </w:r>
      <w:r w:rsidDel="00000000" w:rsidR="00000000" w:rsidRPr="00000000">
        <w:rPr>
          <w:rFonts w:ascii="Times New Roman" w:cs="Times New Roman" w:eastAsia="Times New Roman" w:hAnsi="Times New Roman"/>
          <w:sz w:val="24"/>
          <w:szCs w:val="24"/>
          <w:rtl w:val="0"/>
        </w:rPr>
        <w:t xml:space="preserve">, PubMed Central, 9 October 2021, https://pmc.ncbi.nlm.nih.gov/articles/PMC8537570.</w:t>
      </w:r>
    </w:p>
    <w:p w:rsidR="00000000" w:rsidDel="00000000" w:rsidP="00000000" w:rsidRDefault="00000000" w:rsidRPr="00000000" w14:paraId="00000062">
      <w:pPr>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Chakrabarty, Mahashweta, et al. “Is the burden of </w:t>
      </w:r>
      <w:r w:rsidDel="00000000" w:rsidR="00000000" w:rsidRPr="00000000">
        <w:rPr>
          <w:rFonts w:ascii="Times New Roman" w:cs="Times New Roman" w:eastAsia="Times New Roman" w:hAnsi="Times New Roman"/>
          <w:sz w:val="24"/>
          <w:szCs w:val="24"/>
          <w:rtl w:val="0"/>
        </w:rPr>
        <w:t xml:space="preserve">anaemia</w:t>
      </w:r>
      <w:r w:rsidDel="00000000" w:rsidR="00000000" w:rsidRPr="00000000">
        <w:rPr>
          <w:rFonts w:ascii="Times New Roman" w:cs="Times New Roman" w:eastAsia="Times New Roman" w:hAnsi="Times New Roman"/>
          <w:sz w:val="24"/>
          <w:szCs w:val="24"/>
          <w:rtl w:val="0"/>
        </w:rPr>
        <w:t xml:space="preserve"> among Indian adolescent women increasing? Evidence from Indian Demographic and Health Surveys (2015–21).” </w:t>
      </w:r>
      <w:r w:rsidDel="00000000" w:rsidR="00000000" w:rsidRPr="00000000">
        <w:rPr>
          <w:rFonts w:ascii="Times New Roman" w:cs="Times New Roman" w:eastAsia="Times New Roman" w:hAnsi="Times New Roman"/>
          <w:i w:val="1"/>
          <w:sz w:val="24"/>
          <w:szCs w:val="24"/>
          <w:rtl w:val="0"/>
        </w:rPr>
        <w:t xml:space="preserve">National Institutes of Health</w:t>
      </w:r>
      <w:r w:rsidDel="00000000" w:rsidR="00000000" w:rsidRPr="00000000">
        <w:rPr>
          <w:rFonts w:ascii="Times New Roman" w:cs="Times New Roman" w:eastAsia="Times New Roman" w:hAnsi="Times New Roman"/>
          <w:sz w:val="24"/>
          <w:szCs w:val="24"/>
          <w:rtl w:val="0"/>
        </w:rPr>
        <w:t xml:space="preserve">, PubMed Central, https://pmc.ncbi.nlm.nih.gov/articles/PMC10482272/#pgph.0002117.r002.</w:t>
      </w:r>
    </w:p>
    <w:p w:rsidR="00000000" w:rsidDel="00000000" w:rsidP="00000000" w:rsidRDefault="00000000" w:rsidRPr="00000000" w14:paraId="00000063">
      <w:pPr>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Diamond-Smith, Nadia. “Addressing anemia among women in India—an informed intervention using Facebook Ad Manager.” </w:t>
      </w:r>
      <w:r w:rsidDel="00000000" w:rsidR="00000000" w:rsidRPr="00000000">
        <w:rPr>
          <w:rFonts w:ascii="Times New Roman" w:cs="Times New Roman" w:eastAsia="Times New Roman" w:hAnsi="Times New Roman"/>
          <w:i w:val="1"/>
          <w:sz w:val="24"/>
          <w:szCs w:val="24"/>
          <w:rtl w:val="0"/>
        </w:rPr>
        <w:t xml:space="preserve">mHealth</w:t>
      </w:r>
      <w:r w:rsidDel="00000000" w:rsidR="00000000" w:rsidRPr="00000000">
        <w:rPr>
          <w:rFonts w:ascii="Times New Roman" w:cs="Times New Roman" w:eastAsia="Times New Roman" w:hAnsi="Times New Roman"/>
          <w:sz w:val="24"/>
          <w:szCs w:val="24"/>
          <w:rtl w:val="0"/>
        </w:rPr>
        <w:t xml:space="preserve">, AME Publishing Company, October 2020, </w:t>
      </w:r>
      <w:r w:rsidDel="00000000" w:rsidR="00000000" w:rsidRPr="00000000">
        <w:rPr>
          <w:rFonts w:ascii="Times New Roman" w:cs="Times New Roman" w:eastAsia="Times New Roman" w:hAnsi="Times New Roman"/>
          <w:sz w:val="24"/>
          <w:szCs w:val="24"/>
          <w:rtl w:val="0"/>
        </w:rPr>
        <w:t xml:space="preserve">https://mhealth.amegroups.org/article/view/46615/html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4">
      <w:pPr>
        <w:ind w:left="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“e-Adhigam Scheme - Free Tablet.” </w:t>
      </w:r>
      <w:r w:rsidDel="00000000" w:rsidR="00000000" w:rsidRPr="00000000">
        <w:rPr>
          <w:rFonts w:ascii="Times New Roman" w:cs="Times New Roman" w:eastAsia="Times New Roman" w:hAnsi="Times New Roman"/>
          <w:i w:val="1"/>
          <w:sz w:val="24"/>
          <w:szCs w:val="24"/>
          <w:highlight w:val="white"/>
          <w:rtl w:val="0"/>
        </w:rPr>
        <w:t xml:space="preserve">myScheme</w:t>
      </w:r>
      <w:r w:rsidDel="00000000" w:rsidR="00000000" w:rsidRPr="00000000">
        <w:rPr>
          <w:rFonts w:ascii="Times New Roman" w:cs="Times New Roman" w:eastAsia="Times New Roman" w:hAnsi="Times New Roman"/>
          <w:sz w:val="24"/>
          <w:szCs w:val="24"/>
          <w:highlight w:val="white"/>
          <w:rtl w:val="0"/>
        </w:rPr>
        <w:t xml:space="preserve">, https://www.myscheme.gov.in/schemes/freetablet.</w:t>
      </w:r>
    </w:p>
    <w:p w:rsidR="00000000" w:rsidDel="00000000" w:rsidP="00000000" w:rsidRDefault="00000000" w:rsidRPr="00000000" w14:paraId="00000065">
      <w:pPr>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“Extending Internet Access, Expanding Rural Progress.” </w:t>
      </w:r>
      <w:r w:rsidDel="00000000" w:rsidR="00000000" w:rsidRPr="00000000">
        <w:rPr>
          <w:rFonts w:ascii="Times New Roman" w:cs="Times New Roman" w:eastAsia="Times New Roman" w:hAnsi="Times New Roman"/>
          <w:i w:val="1"/>
          <w:sz w:val="24"/>
          <w:szCs w:val="24"/>
          <w:highlight w:val="white"/>
          <w:rtl w:val="0"/>
        </w:rPr>
        <w:t xml:space="preserve">Press Information Bureau</w:t>
      </w:r>
      <w:r w:rsidDel="00000000" w:rsidR="00000000" w:rsidRPr="00000000">
        <w:rPr>
          <w:rFonts w:ascii="Times New Roman" w:cs="Times New Roman" w:eastAsia="Times New Roman" w:hAnsi="Times New Roman"/>
          <w:sz w:val="24"/>
          <w:szCs w:val="24"/>
          <w:highlight w:val="white"/>
          <w:rtl w:val="0"/>
        </w:rPr>
        <w:t xml:space="preserve">, Press Information Bureau, 21 April 2025, https://www.pib.gov.in/PressReleaseIframePage.aspx?PRID=2123137.</w:t>
      </w:r>
      <w:r w:rsidDel="00000000" w:rsidR="00000000" w:rsidRPr="00000000">
        <w:rPr>
          <w:rtl w:val="0"/>
        </w:rPr>
      </w:r>
    </w:p>
    <w:p w:rsidR="00000000" w:rsidDel="00000000" w:rsidP="00000000" w:rsidRDefault="00000000" w:rsidRPr="00000000" w14:paraId="00000066">
      <w:pPr>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“Five Fast Facts About Anemia.” </w:t>
      </w:r>
      <w:r w:rsidDel="00000000" w:rsidR="00000000" w:rsidRPr="00000000">
        <w:rPr>
          <w:rFonts w:ascii="Times New Roman" w:cs="Times New Roman" w:eastAsia="Times New Roman" w:hAnsi="Times New Roman"/>
          <w:i w:val="1"/>
          <w:sz w:val="24"/>
          <w:szCs w:val="24"/>
          <w:rtl w:val="0"/>
        </w:rPr>
        <w:t xml:space="preserve">GoHealth Urgent Care</w:t>
      </w:r>
      <w:r w:rsidDel="00000000" w:rsidR="00000000" w:rsidRPr="00000000">
        <w:rPr>
          <w:rFonts w:ascii="Times New Roman" w:cs="Times New Roman" w:eastAsia="Times New Roman" w:hAnsi="Times New Roman"/>
          <w:sz w:val="24"/>
          <w:szCs w:val="24"/>
          <w:rtl w:val="0"/>
        </w:rPr>
        <w:t xml:space="preserve">, GoHealth Urgent Care, https://www.gohealthuc.com/library/five-fast-facts-about-anemia.</w:t>
      </w:r>
    </w:p>
    <w:p w:rsidR="00000000" w:rsidDel="00000000" w:rsidP="00000000" w:rsidRDefault="00000000" w:rsidRPr="00000000" w14:paraId="00000067">
      <w:pPr>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“India.” </w:t>
      </w:r>
      <w:r w:rsidDel="00000000" w:rsidR="00000000" w:rsidRPr="00000000">
        <w:rPr>
          <w:rFonts w:ascii="Times New Roman" w:cs="Times New Roman" w:eastAsia="Times New Roman" w:hAnsi="Times New Roman"/>
          <w:i w:val="1"/>
          <w:sz w:val="24"/>
          <w:szCs w:val="24"/>
          <w:rtl w:val="0"/>
        </w:rPr>
        <w:t xml:space="preserve">The World Factbook</w:t>
      </w:r>
      <w:r w:rsidDel="00000000" w:rsidR="00000000" w:rsidRPr="00000000">
        <w:rPr>
          <w:rFonts w:ascii="Times New Roman" w:cs="Times New Roman" w:eastAsia="Times New Roman" w:hAnsi="Times New Roman"/>
          <w:sz w:val="24"/>
          <w:szCs w:val="24"/>
          <w:rtl w:val="0"/>
        </w:rPr>
        <w:t xml:space="preserve">, Central Intelligence Agency, 19 March 2025, https://www.cia.gov/the-world-factbook/countries/india/.</w:t>
      </w:r>
    </w:p>
    <w:p w:rsidR="00000000" w:rsidDel="00000000" w:rsidP="00000000" w:rsidRDefault="00000000" w:rsidRPr="00000000" w14:paraId="00000068">
      <w:pPr>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Indian Culture &amp; Foods</w:t>
      </w:r>
      <w:r w:rsidDel="00000000" w:rsidR="00000000" w:rsidRPr="00000000">
        <w:rPr>
          <w:rFonts w:ascii="Times New Roman" w:cs="Times New Roman" w:eastAsia="Times New Roman" w:hAnsi="Times New Roman"/>
          <w:sz w:val="24"/>
          <w:szCs w:val="24"/>
          <w:rtl w:val="0"/>
        </w:rPr>
        <w:t xml:space="preserve">. Iowa Women, Infants, and Children of the Iowa Department of Public Health., https://hhs.iowa.gov/media/12910/download?inline.</w:t>
      </w:r>
    </w:p>
    <w:p w:rsidR="00000000" w:rsidDel="00000000" w:rsidP="00000000" w:rsidRDefault="00000000" w:rsidRPr="00000000" w14:paraId="00000069">
      <w:pPr>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Joe, William. “Coverage of iron and folic acid supplementation in India: progress under the Anemia Mukt Bharat strategy 2017–20.” </w:t>
      </w:r>
      <w:r w:rsidDel="00000000" w:rsidR="00000000" w:rsidRPr="00000000">
        <w:rPr>
          <w:rFonts w:ascii="Times New Roman" w:cs="Times New Roman" w:eastAsia="Times New Roman" w:hAnsi="Times New Roman"/>
          <w:i w:val="1"/>
          <w:sz w:val="24"/>
          <w:szCs w:val="24"/>
          <w:rtl w:val="0"/>
        </w:rPr>
        <w:t xml:space="preserve">Oxford Academic</w:t>
      </w:r>
      <w:r w:rsidDel="00000000" w:rsidR="00000000" w:rsidRPr="00000000">
        <w:rPr>
          <w:rFonts w:ascii="Times New Roman" w:cs="Times New Roman" w:eastAsia="Times New Roman" w:hAnsi="Times New Roman"/>
          <w:sz w:val="24"/>
          <w:szCs w:val="24"/>
          <w:rtl w:val="0"/>
        </w:rPr>
        <w:t xml:space="preserve">, The London School of Hygiene and Tropical Medicine and Oxford University Press, 28 February 22, https://academic.oup.com/heapol/article/37/5/597/6539775#357670693.</w:t>
      </w:r>
    </w:p>
    <w:p w:rsidR="00000000" w:rsidDel="00000000" w:rsidP="00000000" w:rsidRDefault="00000000" w:rsidRPr="00000000" w14:paraId="0000006A">
      <w:pPr>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McKay, Fiona H., et al. “Measuring Food Insecurity in India: A Systematic Review of the Current Evidence.” </w:t>
      </w:r>
      <w:r w:rsidDel="00000000" w:rsidR="00000000" w:rsidRPr="00000000">
        <w:rPr>
          <w:rFonts w:ascii="Times New Roman" w:cs="Times New Roman" w:eastAsia="Times New Roman" w:hAnsi="Times New Roman"/>
          <w:i w:val="1"/>
          <w:sz w:val="24"/>
          <w:szCs w:val="24"/>
          <w:rtl w:val="0"/>
        </w:rPr>
        <w:t xml:space="preserve">PubMed Central</w:t>
      </w:r>
      <w:r w:rsidDel="00000000" w:rsidR="00000000" w:rsidRPr="00000000">
        <w:rPr>
          <w:rFonts w:ascii="Times New Roman" w:cs="Times New Roman" w:eastAsia="Times New Roman" w:hAnsi="Times New Roman"/>
          <w:sz w:val="24"/>
          <w:szCs w:val="24"/>
          <w:rtl w:val="0"/>
        </w:rPr>
        <w:t xml:space="preserve">, PubMed Central, 6 April 2023, </w:t>
      </w:r>
      <w:r w:rsidDel="00000000" w:rsidR="00000000" w:rsidRPr="00000000">
        <w:rPr>
          <w:rFonts w:ascii="Times New Roman" w:cs="Times New Roman" w:eastAsia="Times New Roman" w:hAnsi="Times New Roman"/>
          <w:sz w:val="24"/>
          <w:szCs w:val="24"/>
          <w:rtl w:val="0"/>
        </w:rPr>
        <w:t xml:space="preserve">https://pmc.ncbi.nlm.nih.gov/articles/PMC10264273/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B">
      <w:pPr>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“Meet Ruby - A New Era of Blood Health.” </w:t>
      </w:r>
      <w:r w:rsidDel="00000000" w:rsidR="00000000" w:rsidRPr="00000000">
        <w:rPr>
          <w:rFonts w:ascii="Times New Roman" w:cs="Times New Roman" w:eastAsia="Times New Roman" w:hAnsi="Times New Roman"/>
          <w:i w:val="1"/>
          <w:sz w:val="24"/>
          <w:szCs w:val="24"/>
          <w:highlight w:val="white"/>
          <w:rtl w:val="0"/>
        </w:rPr>
        <w:t xml:space="preserve">Sanguina</w:t>
      </w:r>
      <w:r w:rsidDel="00000000" w:rsidR="00000000" w:rsidRPr="00000000">
        <w:rPr>
          <w:rFonts w:ascii="Times New Roman" w:cs="Times New Roman" w:eastAsia="Times New Roman" w:hAnsi="Times New Roman"/>
          <w:sz w:val="24"/>
          <w:szCs w:val="24"/>
          <w:highlight w:val="white"/>
          <w:rtl w:val="0"/>
        </w:rPr>
        <w:t xml:space="preserve">, Sanguina, 2 April 2025, https://sanguina.com/blogs/news/meet-ruby-a-new-era-of-blood-health.</w:t>
      </w:r>
      <w:r w:rsidDel="00000000" w:rsidR="00000000" w:rsidRPr="00000000">
        <w:rPr>
          <w:rtl w:val="0"/>
        </w:rPr>
      </w:r>
    </w:p>
    <w:p w:rsidR="00000000" w:rsidDel="00000000" w:rsidP="00000000" w:rsidRDefault="00000000" w:rsidRPr="00000000" w14:paraId="0000006C">
      <w:pPr>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Petre, Alina. “https://www.healthline.com/nutrition/iron-rich-plant-foods.” </w:t>
      </w:r>
      <w:r w:rsidDel="00000000" w:rsidR="00000000" w:rsidRPr="00000000">
        <w:rPr>
          <w:rFonts w:ascii="Times New Roman" w:cs="Times New Roman" w:eastAsia="Times New Roman" w:hAnsi="Times New Roman"/>
          <w:i w:val="1"/>
          <w:sz w:val="24"/>
          <w:szCs w:val="24"/>
          <w:rtl w:val="0"/>
        </w:rPr>
        <w:t xml:space="preserve">Healthline</w:t>
      </w:r>
      <w:r w:rsidDel="00000000" w:rsidR="00000000" w:rsidRPr="00000000">
        <w:rPr>
          <w:rFonts w:ascii="Times New Roman" w:cs="Times New Roman" w:eastAsia="Times New Roman" w:hAnsi="Times New Roman"/>
          <w:sz w:val="24"/>
          <w:szCs w:val="24"/>
          <w:rtl w:val="0"/>
        </w:rPr>
        <w:t xml:space="preserve">, Healthline Media, 20 July 2023, https://www.healthline.com/nutrition/iron-rich-plant-foods.</w:t>
      </w:r>
    </w:p>
    <w:p w:rsidR="00000000" w:rsidDel="00000000" w:rsidP="00000000" w:rsidRDefault="00000000" w:rsidRPr="00000000" w14:paraId="0000006D">
      <w:pPr>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Rammohan, Anu, et al. “Addressing Female Iron-Deficiency Anaemia in India: Is Vegetarianism the Major Obstacle?” </w:t>
      </w:r>
      <w:r w:rsidDel="00000000" w:rsidR="00000000" w:rsidRPr="00000000">
        <w:rPr>
          <w:rFonts w:ascii="Times New Roman" w:cs="Times New Roman" w:eastAsia="Times New Roman" w:hAnsi="Times New Roman"/>
          <w:i w:val="1"/>
          <w:sz w:val="24"/>
          <w:szCs w:val="24"/>
          <w:rtl w:val="0"/>
        </w:rPr>
        <w:t xml:space="preserve">Wiley Online Library</w:t>
      </w:r>
      <w:r w:rsidDel="00000000" w:rsidR="00000000" w:rsidRPr="00000000">
        <w:rPr>
          <w:rFonts w:ascii="Times New Roman" w:cs="Times New Roman" w:eastAsia="Times New Roman" w:hAnsi="Times New Roman"/>
          <w:sz w:val="24"/>
          <w:szCs w:val="24"/>
          <w:rtl w:val="0"/>
        </w:rPr>
        <w:t xml:space="preserve">, John Wiley &amp; Sons, 31 October 2011, https://onlinelibrary.wiley.com/doi/10.5402/2012/765476.</w:t>
      </w:r>
    </w:p>
    <w:p w:rsidR="00000000" w:rsidDel="00000000" w:rsidP="00000000" w:rsidRDefault="00000000" w:rsidRPr="00000000" w14:paraId="0000006E">
      <w:pPr>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Salam, Shumona, et al. “Impact of a school-based nutrition educational intervention on knowledge related to iron deficiency </w:t>
      </w:r>
      <w:r w:rsidDel="00000000" w:rsidR="00000000" w:rsidRPr="00000000">
        <w:rPr>
          <w:rFonts w:ascii="Times New Roman" w:cs="Times New Roman" w:eastAsia="Times New Roman" w:hAnsi="Times New Roman"/>
          <w:sz w:val="24"/>
          <w:szCs w:val="24"/>
          <w:rtl w:val="0"/>
        </w:rPr>
        <w:t xml:space="preserve">anaemia</w:t>
      </w:r>
      <w:r w:rsidDel="00000000" w:rsidR="00000000" w:rsidRPr="00000000">
        <w:rPr>
          <w:rFonts w:ascii="Times New Roman" w:cs="Times New Roman" w:eastAsia="Times New Roman" w:hAnsi="Times New Roman"/>
          <w:sz w:val="24"/>
          <w:szCs w:val="24"/>
          <w:rtl w:val="0"/>
        </w:rPr>
        <w:t xml:space="preserve"> in rural Karnataka, India: A mixed methods pre–post interventional study.” </w:t>
      </w:r>
      <w:r w:rsidDel="00000000" w:rsidR="00000000" w:rsidRPr="00000000">
        <w:rPr>
          <w:rFonts w:ascii="Times New Roman" w:cs="Times New Roman" w:eastAsia="Times New Roman" w:hAnsi="Times New Roman"/>
          <w:i w:val="1"/>
          <w:sz w:val="24"/>
          <w:szCs w:val="24"/>
          <w:rtl w:val="0"/>
        </w:rPr>
        <w:t xml:space="preserve">Obstetrics &amp; Gynecology</w:t>
      </w:r>
      <w:r w:rsidDel="00000000" w:rsidR="00000000" w:rsidRPr="00000000">
        <w:rPr>
          <w:rFonts w:ascii="Times New Roman" w:cs="Times New Roman" w:eastAsia="Times New Roman" w:hAnsi="Times New Roman"/>
          <w:sz w:val="24"/>
          <w:szCs w:val="24"/>
          <w:rtl w:val="0"/>
        </w:rPr>
        <w:t xml:space="preserve">, John Wiley &amp; Sons, 2 August 2023, https://obgyn.onlinelibrary.wiley.com/doi/full/10.1111/1471-0528.17619.</w:t>
      </w:r>
    </w:p>
    <w:p w:rsidR="00000000" w:rsidDel="00000000" w:rsidP="00000000" w:rsidRDefault="00000000" w:rsidRPr="00000000" w14:paraId="0000006F">
      <w:pPr>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Scott, Kerry, et al. “Freedom within a cage: how patriarchal gender norms limit women’s use of mobile phones in rural central India.” </w:t>
      </w:r>
      <w:r w:rsidDel="00000000" w:rsidR="00000000" w:rsidRPr="00000000">
        <w:rPr>
          <w:rFonts w:ascii="Times New Roman" w:cs="Times New Roman" w:eastAsia="Times New Roman" w:hAnsi="Times New Roman"/>
          <w:i w:val="1"/>
          <w:sz w:val="24"/>
          <w:szCs w:val="24"/>
          <w:rtl w:val="0"/>
        </w:rPr>
        <w:t xml:space="preserve">National Institute of Health</w:t>
      </w:r>
      <w:r w:rsidDel="00000000" w:rsidR="00000000" w:rsidRPr="00000000">
        <w:rPr>
          <w:rFonts w:ascii="Times New Roman" w:cs="Times New Roman" w:eastAsia="Times New Roman" w:hAnsi="Times New Roman"/>
          <w:sz w:val="24"/>
          <w:szCs w:val="24"/>
          <w:rtl w:val="0"/>
        </w:rPr>
        <w:t xml:space="preserve">, PubMed Central, 22 September 2021, https://pmc.ncbi.nlm.nih.gov/articles/PMC8461288/#s3.</w:t>
      </w:r>
    </w:p>
    <w:p w:rsidR="00000000" w:rsidDel="00000000" w:rsidP="00000000" w:rsidRDefault="00000000" w:rsidRPr="00000000" w14:paraId="00000070">
      <w:pPr>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Sharif, Nowaj, et al. “Prevalence of anemia among reproductive women in different social </w:t>
      </w:r>
      <w:r w:rsidDel="00000000" w:rsidR="00000000" w:rsidRPr="00000000">
        <w:rPr>
          <w:rFonts w:ascii="Times New Roman" w:cs="Times New Roman" w:eastAsia="Times New Roman" w:hAnsi="Times New Roman"/>
          <w:sz w:val="24"/>
          <w:szCs w:val="24"/>
          <w:rtl w:val="0"/>
        </w:rPr>
        <w:t xml:space="preserve">group</w:t>
      </w:r>
      <w:r w:rsidDel="00000000" w:rsidR="00000000" w:rsidRPr="00000000">
        <w:rPr>
          <w:rFonts w:ascii="Times New Roman" w:cs="Times New Roman" w:eastAsia="Times New Roman" w:hAnsi="Times New Roman"/>
          <w:sz w:val="24"/>
          <w:szCs w:val="24"/>
          <w:rtl w:val="0"/>
        </w:rPr>
        <w:t xml:space="preserve"> in India: Cross-sectional study using nationally representative data.” </w:t>
      </w:r>
      <w:r w:rsidDel="00000000" w:rsidR="00000000" w:rsidRPr="00000000">
        <w:rPr>
          <w:rFonts w:ascii="Times New Roman" w:cs="Times New Roman" w:eastAsia="Times New Roman" w:hAnsi="Times New Roman"/>
          <w:i w:val="1"/>
          <w:sz w:val="24"/>
          <w:szCs w:val="24"/>
          <w:rtl w:val="0"/>
        </w:rPr>
        <w:t xml:space="preserve">National Institute of Health</w:t>
      </w:r>
      <w:r w:rsidDel="00000000" w:rsidR="00000000" w:rsidRPr="00000000">
        <w:rPr>
          <w:rFonts w:ascii="Times New Roman" w:cs="Times New Roman" w:eastAsia="Times New Roman" w:hAnsi="Times New Roman"/>
          <w:sz w:val="24"/>
          <w:szCs w:val="24"/>
          <w:rtl w:val="0"/>
        </w:rPr>
        <w:t xml:space="preserve">, PubMed Central, 2 February 2023, https://pubmed.ncbi.nlm.nih.gov/36730352/.</w:t>
      </w:r>
    </w:p>
    <w:p w:rsidR="00000000" w:rsidDel="00000000" w:rsidP="00000000" w:rsidRDefault="00000000" w:rsidRPr="00000000" w14:paraId="00000071">
      <w:pPr>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Vegi, Preethi, et al. “Trends and predictors of severe and moderate </w:t>
      </w:r>
      <w:r w:rsidDel="00000000" w:rsidR="00000000" w:rsidRPr="00000000">
        <w:rPr>
          <w:rFonts w:ascii="Times New Roman" w:cs="Times New Roman" w:eastAsia="Times New Roman" w:hAnsi="Times New Roman"/>
          <w:sz w:val="24"/>
          <w:szCs w:val="24"/>
          <w:rtl w:val="0"/>
        </w:rPr>
        <w:t xml:space="preserve">anaemia</w:t>
      </w:r>
      <w:r w:rsidDel="00000000" w:rsidR="00000000" w:rsidRPr="00000000">
        <w:rPr>
          <w:rFonts w:ascii="Times New Roman" w:cs="Times New Roman" w:eastAsia="Times New Roman" w:hAnsi="Times New Roman"/>
          <w:sz w:val="24"/>
          <w:szCs w:val="24"/>
          <w:rtl w:val="0"/>
        </w:rPr>
        <w:t xml:space="preserve"> among children aged 6–59 months in India: an analysis of three rounds of National Family Health Survey (NFHS) data.” </w:t>
      </w:r>
      <w:r w:rsidDel="00000000" w:rsidR="00000000" w:rsidRPr="00000000">
        <w:rPr>
          <w:rFonts w:ascii="Times New Roman" w:cs="Times New Roman" w:eastAsia="Times New Roman" w:hAnsi="Times New Roman"/>
          <w:i w:val="1"/>
          <w:sz w:val="24"/>
          <w:szCs w:val="24"/>
          <w:rtl w:val="0"/>
        </w:rPr>
        <w:t xml:space="preserve">BMC Public Health</w:t>
      </w:r>
      <w:r w:rsidDel="00000000" w:rsidR="00000000" w:rsidRPr="00000000">
        <w:rPr>
          <w:rFonts w:ascii="Times New Roman" w:cs="Times New Roman" w:eastAsia="Times New Roman" w:hAnsi="Times New Roman"/>
          <w:sz w:val="24"/>
          <w:szCs w:val="24"/>
          <w:rtl w:val="0"/>
        </w:rPr>
        <w:t xml:space="preserve">, BioMed Central, 14 October 2024, </w:t>
      </w:r>
      <w:r w:rsidDel="00000000" w:rsidR="00000000" w:rsidRPr="00000000">
        <w:rPr>
          <w:rFonts w:ascii="Times New Roman" w:cs="Times New Roman" w:eastAsia="Times New Roman" w:hAnsi="Times New Roman"/>
          <w:sz w:val="24"/>
          <w:szCs w:val="24"/>
          <w:rtl w:val="0"/>
        </w:rPr>
        <w:t xml:space="preserve">https://bmcpublichealth.biomedcentral.com/articles/10.1186/s12889-024-20328-9#Sec10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2">
      <w:pPr>
        <w:ind w:left="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“What is Digital Literacy? Understanding Digital Literacy in India.” </w:t>
      </w:r>
      <w:r w:rsidDel="00000000" w:rsidR="00000000" w:rsidRPr="00000000">
        <w:rPr>
          <w:rFonts w:ascii="Times New Roman" w:cs="Times New Roman" w:eastAsia="Times New Roman" w:hAnsi="Times New Roman"/>
          <w:i w:val="1"/>
          <w:sz w:val="24"/>
          <w:szCs w:val="24"/>
          <w:highlight w:val="white"/>
          <w:rtl w:val="0"/>
        </w:rPr>
        <w:t xml:space="preserve">Bal Raksha Bharat</w:t>
      </w:r>
      <w:r w:rsidDel="00000000" w:rsidR="00000000" w:rsidRPr="00000000">
        <w:rPr>
          <w:rFonts w:ascii="Times New Roman" w:cs="Times New Roman" w:eastAsia="Times New Roman" w:hAnsi="Times New Roman"/>
          <w:sz w:val="24"/>
          <w:szCs w:val="24"/>
          <w:highlight w:val="white"/>
          <w:rtl w:val="0"/>
        </w:rPr>
        <w:t xml:space="preserve">, Bal Raksha Bharat, 23 July 2025, https://balrakshabharat.org/blog/education/empowering-rural-communities-with-digital-literacy-in-india/.</w:t>
      </w:r>
    </w:p>
    <w:p w:rsidR="00000000" w:rsidDel="00000000" w:rsidP="00000000" w:rsidRDefault="00000000" w:rsidRPr="00000000" w14:paraId="00000073">
      <w:pPr>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Bharadwaj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MLA" SelectedStyle="/MLASeventhEditionOfficeOnline.xsl" Version="7">
  <b:Source>
    <b:Tag>source1</b:Tag>
    <b:SourceType>DocumentFromInternetSite</b:SourceType>
    <b:Day>2</b:Day>
    <b:Month>April</b:Month>
    <b:Publisher>Sanguina</b:Publisher>
    <b:Title>Meet Ruby - A New Era of Blood Health</b:Title>
    <b:URL>https://sanguina.com/blogs/news/meet-ruby-a-new-era-of-blood-health</b:URL>
    <b:InternetSiteTitle>Sanguina</b:InternetSiteTitle>
    <b:Year>2025</b:Year>
    <b:Gdcea>{"AccessedType":"Website"}</b:Gdcea>
  </b:Source>
  <b:Source>
    <b:Tag>source2</b:Tag>
    <b:SourceType>DocumentFromInternetSite</b:SourceType>
    <b:Title>e-Adhigam Scheme - Free Tablet</b:Title>
    <b:URL>https://www.myscheme.gov.in/schemes/freetablet</b:URL>
    <b:InternetSiteTitle>myScheme</b:InternetSiteTitle>
    <b:Gdcea>{"AccessedType":"Website"}</b:Gdcea>
  </b:Source>
  <b:Source>
    <b:Tag>source3</b:Tag>
    <b:SourceType>DocumentFromInternetSite</b:SourceType>
    <b:Day>21</b:Day>
    <b:Month>April</b:Month>
    <b:Publisher>Press Information Bureau</b:Publisher>
    <b:Title>Extending Internet Access, Expanding Rural Progress</b:Title>
    <b:URL>https://www.pib.gov.in/PressReleaseIframePage.aspx?PRID=2123137</b:URL>
    <b:InternetSiteTitle>Press Information Bureau</b:InternetSiteTitle>
    <b:Year>2025</b:Year>
    <b:Gdcea>{"AccessedType":"Website"}</b:Gdcea>
  </b:Source>
  <b:Source>
    <b:Tag>source4</b:Tag>
    <b:SourceType>DocumentFromInternetSite</b:SourceType>
    <b:Day>23</b:Day>
    <b:Month>July</b:Month>
    <b:Publisher>Bal Raksha Bharat</b:Publisher>
    <b:Title>What is Digital Literacy? Understanding Digital Literacy in India</b:Title>
    <b:URL>https://balrakshabharat.org/blog/education/empowering-rural-communities-with-digital-literacy-in-india/</b:URL>
    <b:InternetSiteTitle>Bal Raksha Bharat</b:InternetSiteTitle>
    <b:Year>2025</b:Year>
    <b:Gdcea>{"AccessedType":"Website"}</b:Gdcea>
  </b:Source>
</b:Sourc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