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7276A" w14:textId="39C5D32B" w:rsidR="007762B2" w:rsidRDefault="1BF81370" w:rsidP="73C943FD">
      <w:pPr>
        <w:rPr>
          <w:rFonts w:ascii="Aptos" w:eastAsia="Aptos" w:hAnsi="Aptos" w:cs="Aptos"/>
          <w:color w:val="000000" w:themeColor="text1"/>
        </w:rPr>
      </w:pPr>
      <w:bookmarkStart w:id="0" w:name="_GoBack"/>
      <w:bookmarkEnd w:id="0"/>
      <w:r w:rsidRPr="73C943FD">
        <w:rPr>
          <w:rFonts w:ascii="Aptos" w:eastAsia="Aptos" w:hAnsi="Aptos" w:cs="Aptos"/>
          <w:b/>
          <w:bCs/>
          <w:color w:val="000000" w:themeColor="text1"/>
        </w:rPr>
        <w:t>26 August 2025</w:t>
      </w:r>
    </w:p>
    <w:p w14:paraId="3DB23301" w14:textId="6BA06237" w:rsidR="007762B2" w:rsidRDefault="1BF81370" w:rsidP="73C943FD">
      <w:pPr>
        <w:jc w:val="center"/>
        <w:rPr>
          <w:rFonts w:ascii="Aptos" w:eastAsia="Aptos" w:hAnsi="Aptos" w:cs="Aptos"/>
          <w:color w:val="000000" w:themeColor="text1"/>
        </w:rPr>
      </w:pPr>
      <w:r w:rsidRPr="73C943FD">
        <w:rPr>
          <w:rFonts w:ascii="Aptos" w:eastAsia="Aptos" w:hAnsi="Aptos" w:cs="Aptos"/>
          <w:b/>
          <w:bCs/>
          <w:color w:val="000000" w:themeColor="text1"/>
        </w:rPr>
        <w:t>Ethiopia: Building Resilience Through Community-Managed Climate-Smart Water Systems</w:t>
      </w:r>
    </w:p>
    <w:p w14:paraId="40D5D2FE" w14:textId="5DC9618F" w:rsidR="007762B2" w:rsidRDefault="1BF81370" w:rsidP="73C943FD">
      <w:pPr>
        <w:ind w:firstLine="720"/>
        <w:rPr>
          <w:rFonts w:ascii="Aptos" w:eastAsia="Aptos" w:hAnsi="Aptos" w:cs="Aptos"/>
          <w:color w:val="000000" w:themeColor="text1"/>
        </w:rPr>
      </w:pPr>
      <w:r w:rsidRPr="73C943FD">
        <w:rPr>
          <w:rFonts w:ascii="Aptos" w:eastAsia="Aptos" w:hAnsi="Aptos" w:cs="Aptos"/>
          <w:color w:val="000000" w:themeColor="text1"/>
        </w:rPr>
        <w:t xml:space="preserve">“Food is the moral right of all who are born into this world,” wrote Dr. Norman E. Borlaug, and that moral imperative is painfully relevant in Ethiopia today. Imagine living with that level of uncertainty—wondering if rain will come, or if there will be enough to feed a family. Yet for millions in Ethiopia, that uncertainty defines daily life. Recurrent droughts, floods, and shifting rainfall patterns repeatedly undermine rain-fed production, while conflict and chronic poverty amplify vulnerability; humanitarian assessments show millions of Ethiopians remain acutely food insecure. If the international community and Ethiopia’s leaders wish to move beyond repeated emergency responses, they must invest in interventions that address the most immediate </w:t>
      </w:r>
      <w:r w:rsidR="62154889" w:rsidRPr="73C943FD">
        <w:rPr>
          <w:rFonts w:ascii="Aptos" w:eastAsia="Aptos" w:hAnsi="Aptos" w:cs="Aptos"/>
          <w:color w:val="000000" w:themeColor="text1"/>
        </w:rPr>
        <w:t>issue</w:t>
      </w:r>
      <w:r w:rsidRPr="73C943FD">
        <w:rPr>
          <w:rFonts w:ascii="Aptos" w:eastAsia="Aptos" w:hAnsi="Aptos" w:cs="Aptos"/>
          <w:color w:val="000000" w:themeColor="text1"/>
        </w:rPr>
        <w:t xml:space="preserve"> on smallholder productivity—reliable access to water—while ensuring new infrastructure and technologies are sustainable, equitable, and culturally appropriate</w:t>
      </w:r>
      <w:r w:rsidR="35BC61C9" w:rsidRPr="73C943FD">
        <w:rPr>
          <w:rFonts w:ascii="Aptos" w:eastAsia="Aptos" w:hAnsi="Aptos" w:cs="Aptos"/>
          <w:color w:val="000000" w:themeColor="text1"/>
        </w:rPr>
        <w:t xml:space="preserve"> to their situation</w:t>
      </w:r>
      <w:r w:rsidRPr="73C943FD">
        <w:rPr>
          <w:rFonts w:ascii="Aptos" w:eastAsia="Aptos" w:hAnsi="Aptos" w:cs="Aptos"/>
          <w:color w:val="000000" w:themeColor="text1"/>
        </w:rPr>
        <w:t xml:space="preserve">. Community-Managed Climate-Smart Water Systems (CM-CSWS), a concentrated package of community water storage, </w:t>
      </w:r>
      <w:r w:rsidR="6DF4EFAC" w:rsidRPr="73C943FD">
        <w:rPr>
          <w:rFonts w:ascii="Aptos" w:eastAsia="Aptos" w:hAnsi="Aptos" w:cs="Aptos"/>
          <w:color w:val="000000" w:themeColor="text1"/>
        </w:rPr>
        <w:t>situation</w:t>
      </w:r>
      <w:r w:rsidRPr="73C943FD">
        <w:rPr>
          <w:rFonts w:ascii="Aptos" w:eastAsia="Aptos" w:hAnsi="Aptos" w:cs="Aptos"/>
          <w:color w:val="000000" w:themeColor="text1"/>
        </w:rPr>
        <w:t>-appropriate irrigation technologies, and accountable local governance</w:t>
      </w:r>
      <w:r w:rsidR="60A5FBDF" w:rsidRPr="73C943FD">
        <w:rPr>
          <w:rFonts w:ascii="Aptos" w:eastAsia="Aptos" w:hAnsi="Aptos" w:cs="Aptos"/>
          <w:color w:val="000000" w:themeColor="text1"/>
        </w:rPr>
        <w:t xml:space="preserve"> that</w:t>
      </w:r>
      <w:r w:rsidRPr="73C943FD">
        <w:rPr>
          <w:rFonts w:ascii="Aptos" w:eastAsia="Aptos" w:hAnsi="Aptos" w:cs="Aptos"/>
          <w:color w:val="000000" w:themeColor="text1"/>
        </w:rPr>
        <w:t xml:space="preserve"> offers a focused</w:t>
      </w:r>
      <w:r w:rsidR="130BD00F" w:rsidRPr="73C943FD">
        <w:rPr>
          <w:rFonts w:ascii="Aptos" w:eastAsia="Aptos" w:hAnsi="Aptos" w:cs="Aptos"/>
          <w:color w:val="000000" w:themeColor="text1"/>
        </w:rPr>
        <w:t xml:space="preserve"> and </w:t>
      </w:r>
      <w:r w:rsidRPr="73C943FD">
        <w:rPr>
          <w:rFonts w:ascii="Aptos" w:eastAsia="Aptos" w:hAnsi="Aptos" w:cs="Aptos"/>
          <w:color w:val="000000" w:themeColor="text1"/>
        </w:rPr>
        <w:t>implementable pathway to shorten lean rain seasons, raise incomes, and improve diets for Ethiopia’s most vulnerable households (Food Security Information Network; ILSSI).</w:t>
      </w:r>
    </w:p>
    <w:p w14:paraId="7DEC9302" w14:textId="65FAEC0A" w:rsidR="007762B2" w:rsidRDefault="0C04FED2" w:rsidP="73C943FD">
      <w:pPr>
        <w:ind w:firstLine="720"/>
        <w:rPr>
          <w:rFonts w:ascii="Aptos" w:eastAsia="Aptos" w:hAnsi="Aptos" w:cs="Aptos"/>
          <w:color w:val="000000" w:themeColor="text1"/>
        </w:rPr>
      </w:pPr>
      <w:r w:rsidRPr="73C943FD">
        <w:rPr>
          <w:rFonts w:ascii="Aptos" w:eastAsia="Aptos" w:hAnsi="Aptos" w:cs="Aptos"/>
        </w:rPr>
        <w:t xml:space="preserve">Ethiopia’s demographic and agrarian context </w:t>
      </w:r>
      <w:bookmarkStart w:id="1" w:name="_Int_q2xt3R5v"/>
      <w:r w:rsidRPr="73C943FD">
        <w:rPr>
          <w:rFonts w:ascii="Aptos" w:eastAsia="Aptos" w:hAnsi="Aptos" w:cs="Aptos"/>
        </w:rPr>
        <w:t>makes</w:t>
      </w:r>
      <w:bookmarkEnd w:id="1"/>
      <w:r w:rsidRPr="73C943FD">
        <w:rPr>
          <w:rFonts w:ascii="Aptos" w:eastAsia="Aptos" w:hAnsi="Aptos" w:cs="Aptos"/>
        </w:rPr>
        <w:t xml:space="preserve"> such an intervention both urgent and practical. Approximately 80% of Ethiopians live in rural areas, where smallholder farming is the main source of livelihood, and plots often average around one hectare or less. The country’s landscape is highly diverse, encompassing drought-prone lowlands in Afar and Somali regions, fertile highlands in Amhara and Tigray, and semi-arid plateaus, creating significant variation in water availability and agricultural potential. Most production remains rain-fed and therefore extremely sensitive to intra-annual rainfall variability, prolonged dry spells, and shifting seasonal patterns, which leaves households highly vulnerable to crop failures and food insecurity (World Bank). </w:t>
      </w:r>
      <w:r w:rsidR="1BF81370" w:rsidRPr="73C943FD">
        <w:rPr>
          <w:rFonts w:ascii="Aptos" w:eastAsia="Aptos" w:hAnsi="Aptos" w:cs="Aptos"/>
          <w:color w:val="000000" w:themeColor="text1"/>
        </w:rPr>
        <w:t>When rains fail, households often sell assets, curtail food consumption, or migrate in search of work. Recent IPC analyses and Global Report on Food Crises briefs underline that emergency assistance still saves lives, but repeated reliance on relief without parallel resilience investments simply postpones the next crisis (IPC; Food Security Information Network). In other words, humanitarian action and development must proceed in tandem: while relief meets immediate needs, climate-smart investments in water and on-farm technologies can prevent or reduce future emergencies.</w:t>
      </w:r>
    </w:p>
    <w:p w14:paraId="5D2C9BFA" w14:textId="09078EF3" w:rsidR="007762B2" w:rsidRDefault="1BF81370" w:rsidP="73C943FD">
      <w:pPr>
        <w:ind w:firstLine="720"/>
        <w:rPr>
          <w:rFonts w:ascii="Aptos" w:eastAsia="Aptos" w:hAnsi="Aptos" w:cs="Aptos"/>
          <w:color w:val="000000" w:themeColor="text1"/>
        </w:rPr>
      </w:pPr>
      <w:r w:rsidRPr="73C943FD">
        <w:rPr>
          <w:rFonts w:ascii="Aptos" w:eastAsia="Aptos" w:hAnsi="Aptos" w:cs="Aptos"/>
          <w:color w:val="000000" w:themeColor="text1"/>
        </w:rPr>
        <w:t xml:space="preserve">A robust body of evidence demonstrates that carefully designed small-scale irrigation (SSI) and community water-management interventions produce measurable benefits when they are implemented with training, market linkages, and local </w:t>
      </w:r>
      <w:r w:rsidRPr="73C943FD">
        <w:rPr>
          <w:rFonts w:ascii="Aptos" w:eastAsia="Aptos" w:hAnsi="Aptos" w:cs="Aptos"/>
          <w:color w:val="000000" w:themeColor="text1"/>
        </w:rPr>
        <w:lastRenderedPageBreak/>
        <w:t xml:space="preserve">governance. Over the last decade, programs led by the Feed the Future Innovation Lab for Small-Scale Irrigation (ILSSI), complementary IWMI studies, and IFAD’s PASIDP implementation work have documented increases in cropping intensity, higher yields for both staple and higher-value horticultural crops, and improved household diet diversity in areas where irrigation is matched with extension services and supply chains for spare parts (ILSSI; IWMI; IFAD/PASIDP). Meta-analytic work synthesizing multiple Ethiopian studies finds a statistically significant positive effect of SSI on rural livelihood outcomes, confirming that irrigation can materially improve incomes and food security when investments include post-installation support (Gizaw, Demissie, and Dilie). These findings underscore a core lesson: irrigation hardware alone rarely achieves durable impact—without the human systems to operate, finance, and govern it, infrastructure quickly </w:t>
      </w:r>
      <w:r w:rsidR="1D9CA0BB" w:rsidRPr="73C943FD">
        <w:rPr>
          <w:rFonts w:ascii="Aptos" w:eastAsia="Aptos" w:hAnsi="Aptos" w:cs="Aptos"/>
          <w:color w:val="000000" w:themeColor="text1"/>
        </w:rPr>
        <w:t>degrades,</w:t>
      </w:r>
      <w:r w:rsidRPr="73C943FD">
        <w:rPr>
          <w:rFonts w:ascii="Aptos" w:eastAsia="Aptos" w:hAnsi="Aptos" w:cs="Aptos"/>
          <w:color w:val="000000" w:themeColor="text1"/>
        </w:rPr>
        <w:t xml:space="preserve"> or benefits are captured inequitably.</w:t>
      </w:r>
    </w:p>
    <w:p w14:paraId="173C746E" w14:textId="4E1199D2" w:rsidR="007762B2" w:rsidRDefault="1BF81370" w:rsidP="73C943FD">
      <w:pPr>
        <w:ind w:firstLine="720"/>
        <w:rPr>
          <w:rFonts w:ascii="Aptos" w:eastAsia="Aptos" w:hAnsi="Aptos" w:cs="Aptos"/>
          <w:color w:val="000000" w:themeColor="text1"/>
        </w:rPr>
      </w:pPr>
      <w:r w:rsidRPr="73C943FD">
        <w:rPr>
          <w:rFonts w:ascii="Aptos" w:eastAsia="Aptos" w:hAnsi="Aptos" w:cs="Aptos"/>
          <w:color w:val="000000" w:themeColor="text1"/>
        </w:rPr>
        <w:t xml:space="preserve">CM-CSWS is deliberately a “hardware plus software” solution. Technically, it centers on modest, community-appropriate storage and delivery technologies: small lined ponds and rehabilitated springs or micro-dams that capture seasonal runoff and are protected from rapid siltation through simple civil works (silt traps, spillways) and upstream watershed measures (reforestation and terracing); low-pressure drip kits for homestead and market gardens that maximize crop-per-drop and require minimal technical skill to operate; and solar or high-efficiency pumps only in locations where hydrogeological assessment confirms renewable recharge. Socially and institutionally, every physical asset is embedded in Water User Associations (WUAs), producer cooperatives, and customary savings groups such as </w:t>
      </w:r>
      <w:proofErr w:type="spellStart"/>
      <w:r w:rsidRPr="73C943FD">
        <w:rPr>
          <w:rFonts w:ascii="Aptos" w:eastAsia="Aptos" w:hAnsi="Aptos" w:cs="Aptos"/>
          <w:color w:val="000000" w:themeColor="text1"/>
        </w:rPr>
        <w:t>equb</w:t>
      </w:r>
      <w:proofErr w:type="spellEnd"/>
      <w:r w:rsidRPr="73C943FD">
        <w:rPr>
          <w:rFonts w:ascii="Aptos" w:eastAsia="Aptos" w:hAnsi="Aptos" w:cs="Aptos"/>
          <w:color w:val="000000" w:themeColor="text1"/>
        </w:rPr>
        <w:t xml:space="preserve"> and </w:t>
      </w:r>
      <w:proofErr w:type="spellStart"/>
      <w:r w:rsidRPr="73C943FD">
        <w:rPr>
          <w:rFonts w:ascii="Aptos" w:eastAsia="Aptos" w:hAnsi="Aptos" w:cs="Aptos"/>
          <w:color w:val="000000" w:themeColor="text1"/>
        </w:rPr>
        <w:t>iddir</w:t>
      </w:r>
      <w:proofErr w:type="spellEnd"/>
      <w:r w:rsidRPr="73C943FD">
        <w:rPr>
          <w:rFonts w:ascii="Aptos" w:eastAsia="Aptos" w:hAnsi="Aptos" w:cs="Aptos"/>
          <w:color w:val="000000" w:themeColor="text1"/>
        </w:rPr>
        <w:t>. These institutions sign bylaws, collect modest fees into maintenance funds, and arbitrate sharing, thereby confronting the two most common failure modes of past projects—technical abandonment and elite capture (Ministry of Agriculture PIDM Manual; ILSSI).</w:t>
      </w:r>
    </w:p>
    <w:p w14:paraId="34A8295F" w14:textId="14C782E8" w:rsidR="007762B2" w:rsidRDefault="1BF81370" w:rsidP="73C943FD">
      <w:pPr>
        <w:ind w:firstLine="720"/>
        <w:rPr>
          <w:rFonts w:ascii="Aptos" w:eastAsia="Aptos" w:hAnsi="Aptos" w:cs="Aptos"/>
          <w:color w:val="000000" w:themeColor="text1"/>
        </w:rPr>
      </w:pPr>
      <w:r w:rsidRPr="73C943FD">
        <w:rPr>
          <w:rFonts w:ascii="Aptos" w:eastAsia="Aptos" w:hAnsi="Aptos" w:cs="Aptos"/>
          <w:color w:val="000000" w:themeColor="text1"/>
        </w:rPr>
        <w:t xml:space="preserve">Grounding the intervention in real household outcomes helps explain why the package matters. When smallholders gain dependable water and the training to use it, they can intensify cropping calendars and diversify into nutrient-rich vegetables and fodder—productions that directly influence household diets and incomes. In some highland communities a modest homestead drip kit, combined with a few hours of training from a Development Agent, enables women who manage household gardens to grow vegetables year-round and market modest surpluses; program evaluations find that irrigating households often enjoy higher women’s dietary diversity and better child nutrition indicators in drought-affected settings (Mekonnen et al.; ILSSI). In semi-arid agro-pastoral zones, rehabilitating communal springs and building small ponds that serve both crop and livestock needs stabilizes fodder availability, reduces distress sales of animals during dry spells, and helps sustain milk production—an outcome that preserves both nutrition and pastoralist livelihoods. These examples are not anecdotal: ILSSI and PASIDP case studies document pathways by which irrigation, when paired </w:t>
      </w:r>
      <w:r w:rsidRPr="73C943FD">
        <w:rPr>
          <w:rFonts w:ascii="Aptos" w:eastAsia="Aptos" w:hAnsi="Aptos" w:cs="Aptos"/>
          <w:color w:val="000000" w:themeColor="text1"/>
        </w:rPr>
        <w:lastRenderedPageBreak/>
        <w:t>with extension support and market connections, translates into higher home consumption of micronutrient-rich foods and into surplus income used to buy other essentials.</w:t>
      </w:r>
    </w:p>
    <w:p w14:paraId="7A1E3376" w14:textId="0099F5D8" w:rsidR="007762B2" w:rsidRDefault="1BF81370" w:rsidP="73C943FD">
      <w:pPr>
        <w:ind w:firstLine="720"/>
        <w:rPr>
          <w:rFonts w:ascii="Aptos" w:eastAsia="Aptos" w:hAnsi="Aptos" w:cs="Aptos"/>
          <w:color w:val="000000" w:themeColor="text1"/>
        </w:rPr>
      </w:pPr>
      <w:r w:rsidRPr="73C943FD">
        <w:rPr>
          <w:rFonts w:ascii="Aptos" w:eastAsia="Aptos" w:hAnsi="Aptos" w:cs="Aptos"/>
          <w:color w:val="000000" w:themeColor="text1"/>
        </w:rPr>
        <w:t>Turning this design into a credible national program requires a phased, measurable, and learning-driven approach. The first phase—co-design and piloting in Months 0–12—selects climate-vulnerable kebeles in representative regions (for example, targeted woredas in Afar and highland woredas in Amhara or Tigray where access permits), conducts hydrological screening with the Ministry of Water and Energy, co-creates WUA bylaws with communities, constructs or rehabilitates small lined ponds and springs, and distributes homestead drip kits targeted to women-headed households and PSNP beneficiaries. This phase emphasizes human capacity: training Development Agents, certifying local artisans to repair drip lines and pumps, and establishing local vendor links for spare parts. Phase Two (Years 2–3) scales geographically into adjacent woredas, consolidates vendor networks (transforming maintenance needs into rural microenterprises), institutionalizes voucher mechanisms and microfinance lines for the poorest households, and embeds routine monitoring—quarterly yield, water-use, and dietary surveys—implemented with independent partners such as IWMI and ILSSI. Phase Three (Years 4–10) channels national budget lines alongside World Bank FSRP and PASIDP-style financing into broader scale-up, transitions operational responsibility to WUAs and regional bureaus, and codifies successful practices in national policy guidance. This sequencing reduces fiscal and technical risk early, produces rigorous evidence on impact, and builds the political and budgetary momentum required for national adoption (World Bank FSRP; ILSSI; IFAD/PASIDP).</w:t>
      </w:r>
    </w:p>
    <w:p w14:paraId="681E37E2" w14:textId="47701E8E" w:rsidR="007762B2" w:rsidRDefault="1BF81370" w:rsidP="73C943FD">
      <w:pPr>
        <w:ind w:firstLine="720"/>
        <w:rPr>
          <w:rFonts w:ascii="Aptos" w:eastAsia="Aptos" w:hAnsi="Aptos" w:cs="Aptos"/>
          <w:color w:val="000000" w:themeColor="text1"/>
        </w:rPr>
      </w:pPr>
      <w:r w:rsidRPr="73C943FD">
        <w:rPr>
          <w:rFonts w:ascii="Aptos" w:eastAsia="Aptos" w:hAnsi="Aptos" w:cs="Aptos"/>
          <w:color w:val="000000" w:themeColor="text1"/>
        </w:rPr>
        <w:t xml:space="preserve">Clear delineation of roles and a blended financing model are central to avoiding fragmentation and ensuring inclusion. The Ministry of Agriculture should set technical standards and integrate irrigation modules into Development Agent curricula; the Ministry of Water and Energy must conduct hydrogeological assessments and enforce abstraction rules. Regional bureaus and Farmer Training Centers coordinate site selection and local training, while WUAs, cooperatives, and </w:t>
      </w:r>
      <w:proofErr w:type="spellStart"/>
      <w:r w:rsidRPr="73C943FD">
        <w:rPr>
          <w:rFonts w:ascii="Aptos" w:eastAsia="Aptos" w:hAnsi="Aptos" w:cs="Aptos"/>
          <w:color w:val="000000" w:themeColor="text1"/>
        </w:rPr>
        <w:t>equb</w:t>
      </w:r>
      <w:proofErr w:type="spellEnd"/>
      <w:r w:rsidRPr="73C943FD">
        <w:rPr>
          <w:rFonts w:ascii="Aptos" w:eastAsia="Aptos" w:hAnsi="Aptos" w:cs="Aptos"/>
          <w:color w:val="000000" w:themeColor="text1"/>
        </w:rPr>
        <w:t>/</w:t>
      </w:r>
      <w:proofErr w:type="spellStart"/>
      <w:r w:rsidRPr="73C943FD">
        <w:rPr>
          <w:rFonts w:ascii="Aptos" w:eastAsia="Aptos" w:hAnsi="Aptos" w:cs="Aptos"/>
          <w:color w:val="000000" w:themeColor="text1"/>
        </w:rPr>
        <w:t>iddir</w:t>
      </w:r>
      <w:proofErr w:type="spellEnd"/>
      <w:r w:rsidRPr="73C943FD">
        <w:rPr>
          <w:rFonts w:ascii="Aptos" w:eastAsia="Aptos" w:hAnsi="Aptos" w:cs="Aptos"/>
          <w:color w:val="000000" w:themeColor="text1"/>
        </w:rPr>
        <w:t xml:space="preserve"> groups manage day-to-day allocation, fee collection, and minor repairs. Technical partners—ILSSI and IWMI for evidence and monitoring, </w:t>
      </w:r>
      <w:proofErr w:type="spellStart"/>
      <w:r w:rsidRPr="73C943FD">
        <w:rPr>
          <w:rFonts w:ascii="Aptos" w:eastAsia="Aptos" w:hAnsi="Aptos" w:cs="Aptos"/>
          <w:color w:val="000000" w:themeColor="text1"/>
        </w:rPr>
        <w:t>iDE</w:t>
      </w:r>
      <w:proofErr w:type="spellEnd"/>
      <w:r w:rsidRPr="73C943FD">
        <w:rPr>
          <w:rFonts w:ascii="Aptos" w:eastAsia="Aptos" w:hAnsi="Aptos" w:cs="Aptos"/>
          <w:color w:val="000000" w:themeColor="text1"/>
        </w:rPr>
        <w:t xml:space="preserve"> for drip supply and market development, WaterAid for gender-sensitive water governance—support design optimization and vendor development. Financing blends concessional capital and donor grants for shared infrastructure with targeted vouchers and microloans for household-level equipment; WUA sinking funds, seeded by initial grants and used transparently, cover routine maintenance. Existing business models for solar-pump vendors and drip suppliers show that local assembly, spare-part shops, and pay-as-you-grow options are feasible and crucial for sustainability (IWMI; </w:t>
      </w:r>
      <w:proofErr w:type="spellStart"/>
      <w:r w:rsidRPr="73C943FD">
        <w:rPr>
          <w:rFonts w:ascii="Aptos" w:eastAsia="Aptos" w:hAnsi="Aptos" w:cs="Aptos"/>
          <w:color w:val="000000" w:themeColor="text1"/>
        </w:rPr>
        <w:t>iDE</w:t>
      </w:r>
      <w:proofErr w:type="spellEnd"/>
      <w:r w:rsidRPr="73C943FD">
        <w:rPr>
          <w:rFonts w:ascii="Aptos" w:eastAsia="Aptos" w:hAnsi="Aptos" w:cs="Aptos"/>
          <w:color w:val="000000" w:themeColor="text1"/>
        </w:rPr>
        <w:t>; World Bank analyses).</w:t>
      </w:r>
      <w:r w:rsidR="00C1336D">
        <w:rPr>
          <w:rFonts w:ascii="Aptos" w:eastAsia="Aptos" w:hAnsi="Aptos" w:cs="Aptos"/>
          <w:color w:val="000000" w:themeColor="text1"/>
        </w:rPr>
        <w:t xml:space="preserve"> </w:t>
      </w:r>
      <w:r w:rsidR="00C1336D" w:rsidRPr="00C1336D">
        <w:rPr>
          <w:rFonts w:ascii="Aptos" w:eastAsia="Aptos" w:hAnsi="Aptos" w:cs="Aptos"/>
          <w:color w:val="000000" w:themeColor="text1"/>
        </w:rPr>
        <w:t xml:space="preserve">The Ethiopian government plays a crucial role in setting technical standards, conducting hydrological </w:t>
      </w:r>
      <w:r w:rsidR="00C1336D" w:rsidRPr="00C1336D">
        <w:rPr>
          <w:rFonts w:ascii="Aptos" w:eastAsia="Aptos" w:hAnsi="Aptos" w:cs="Aptos"/>
          <w:color w:val="000000" w:themeColor="text1"/>
        </w:rPr>
        <w:lastRenderedPageBreak/>
        <w:t>assessments, and integrating climate-smart irrigation into national agricultural programs. Complementing these efforts, NGOs and development partners provide training, market access, and monitoring support, ensuring that interventions are effectively implemented and adapted to local needs. Collaboration between government bodies and NGOs helps align resources, avoid duplication, and strengthen accountability, ensuring that both policy and on-the-ground action work toward sustainable food security outcomes</w:t>
      </w:r>
    </w:p>
    <w:p w14:paraId="209839BD" w14:textId="5832B81E" w:rsidR="007762B2" w:rsidRDefault="1BF81370" w:rsidP="73C943FD">
      <w:pPr>
        <w:ind w:firstLine="720"/>
        <w:rPr>
          <w:rFonts w:ascii="Aptos" w:eastAsia="Aptos" w:hAnsi="Aptos" w:cs="Aptos"/>
          <w:color w:val="000000" w:themeColor="text1"/>
        </w:rPr>
      </w:pPr>
      <w:r w:rsidRPr="73C943FD">
        <w:rPr>
          <w:rFonts w:ascii="Aptos" w:eastAsia="Aptos" w:hAnsi="Aptos" w:cs="Aptos"/>
          <w:color w:val="000000" w:themeColor="text1"/>
        </w:rPr>
        <w:t xml:space="preserve">Sustainability is the program’s defining constraint and is therefore addressed intentionally across environmental, social, and economic dimensions. Environmentally, storage construction is paired with catchment restoration—terracing, agroforestry, and vegetative strips—to reduce siltation and enhance recharge; pumps are permitted only where Ministry assessments confirm renewable yields, and seasonal abstraction caps are written into WUA bylaws and community monitoring practices to avoid groundwater depletion (ILSSI; </w:t>
      </w:r>
      <w:proofErr w:type="spellStart"/>
      <w:r w:rsidRPr="73C943FD">
        <w:rPr>
          <w:rFonts w:ascii="Aptos" w:eastAsia="Aptos" w:hAnsi="Aptos" w:cs="Aptos"/>
          <w:color w:val="000000" w:themeColor="text1"/>
        </w:rPr>
        <w:t>MoWE</w:t>
      </w:r>
      <w:proofErr w:type="spellEnd"/>
      <w:r w:rsidRPr="73C943FD">
        <w:rPr>
          <w:rFonts w:ascii="Aptos" w:eastAsia="Aptos" w:hAnsi="Aptos" w:cs="Aptos"/>
          <w:color w:val="000000" w:themeColor="text1"/>
        </w:rPr>
        <w:t xml:space="preserve"> guidance). Socially, the program prioritizes gender sensitivity and inclusion: homestead drip systems increase women’s control over kitchen gardens and incomes, quotas and training ensure substantial female representation in WUA leadership during pilot phases, and explicit inclusion rules protect pastoralist and displaced households from exclusion. Economically, vendor-led spare-parts markets and bundled service offerings (installation, annual checks, micro-loans) convert maintenance into durable revenue streams, while modest, transparent WUA fees reduce dependency on one-off donor maintenance funds (ILSSI; </w:t>
      </w:r>
      <w:proofErr w:type="spellStart"/>
      <w:r w:rsidRPr="73C943FD">
        <w:rPr>
          <w:rFonts w:ascii="Aptos" w:eastAsia="Aptos" w:hAnsi="Aptos" w:cs="Aptos"/>
          <w:color w:val="000000" w:themeColor="text1"/>
        </w:rPr>
        <w:t>iDE</w:t>
      </w:r>
      <w:proofErr w:type="spellEnd"/>
      <w:r w:rsidRPr="73C943FD">
        <w:rPr>
          <w:rFonts w:ascii="Aptos" w:eastAsia="Aptos" w:hAnsi="Aptos" w:cs="Aptos"/>
          <w:color w:val="000000" w:themeColor="text1"/>
        </w:rPr>
        <w:t>; IWMI).</w:t>
      </w:r>
    </w:p>
    <w:p w14:paraId="1FDB8325" w14:textId="13A30A75" w:rsidR="007762B2" w:rsidRDefault="1BF81370" w:rsidP="73C943FD">
      <w:pPr>
        <w:ind w:firstLine="720"/>
        <w:rPr>
          <w:rFonts w:ascii="Aptos" w:eastAsia="Aptos" w:hAnsi="Aptos" w:cs="Aptos"/>
          <w:color w:val="000000" w:themeColor="text1"/>
        </w:rPr>
      </w:pPr>
      <w:r w:rsidRPr="73C943FD">
        <w:rPr>
          <w:rFonts w:ascii="Aptos" w:eastAsia="Aptos" w:hAnsi="Aptos" w:cs="Aptos"/>
          <w:color w:val="000000" w:themeColor="text1"/>
        </w:rPr>
        <w:t xml:space="preserve">The long-term vision—over ten to fifteen years—is ambitious but grounded in evidence and institutional pathways. ILSSI’s suitability mapping and economic modeling identify large tracts potentially appropriate for SSI—on the order of hundreds of thousands to a million hectares—indicating a substantial addressable population when sites are chosen sustainably (ILSSI). The World Bank’s FSRP has already reached over a million farmers with complementary resilience and irrigation interventions, demonstrating both institutional capacity and financing channels for rapid scale-up (World Bank). PASIDP’s experience building more than a hundred schemes and reaching tens of thousands of households offers concrete lessons on participatory management and maintenance. If CM-CSWS is scaled through coordinated FSRP/PASIDP financing while leveraging public budgets, donor grants, and market finance, a conservative ten-year scenario could reach several hundred thousand additional households in climate-vulnerable woredas—yielding measurable reductions in lean-season food gaps, improvements in child nutrition indicators in intervention areas, and the creation of thousands of rural microenterprises serving irrigation markets (Gizaw et al.; Mekonnen et al.; World Bank; ILSSI). Importantly, meta-analytic evidence confirms that livelihood improvements from SSI are most robust when irrigation </w:t>
      </w:r>
      <w:r w:rsidRPr="73C943FD">
        <w:rPr>
          <w:rFonts w:ascii="Aptos" w:eastAsia="Aptos" w:hAnsi="Aptos" w:cs="Aptos"/>
          <w:color w:val="000000" w:themeColor="text1"/>
        </w:rPr>
        <w:lastRenderedPageBreak/>
        <w:t>investments are bundled with extension, finance, market access, and environmental safeguards—precisely the CM-CSWS design.</w:t>
      </w:r>
    </w:p>
    <w:p w14:paraId="739587E6" w14:textId="5ADBC042" w:rsidR="007762B2" w:rsidRDefault="1BF81370" w:rsidP="73C943FD">
      <w:pPr>
        <w:ind w:firstLine="720"/>
        <w:rPr>
          <w:rFonts w:ascii="Aptos" w:eastAsia="Aptos" w:hAnsi="Aptos" w:cs="Aptos"/>
          <w:color w:val="000000" w:themeColor="text1"/>
        </w:rPr>
      </w:pPr>
      <w:r w:rsidRPr="73C943FD">
        <w:rPr>
          <w:rFonts w:ascii="Aptos" w:eastAsia="Aptos" w:hAnsi="Aptos" w:cs="Aptos"/>
          <w:color w:val="000000" w:themeColor="text1"/>
        </w:rPr>
        <w:t>The program is not without risk, and acknowledging those risks is essential for credibility. Elite capture of shared water assets is a real threat; mitigating measures include posted water rosters, public financial reporting, female leadership quotas, and third-party audits during the pilot phase. Technical risks such as siltation or liner damage are addressed through upstream catchment treatment, planned desilting funded from WUA reserves, and certified local artisan training. Financial exclusion of the poorest is reduced by PSNP-linked vouchers and by channeling targeted subsidies through customary savings groups (</w:t>
      </w:r>
      <w:proofErr w:type="spellStart"/>
      <w:r w:rsidRPr="73C943FD">
        <w:rPr>
          <w:rFonts w:ascii="Aptos" w:eastAsia="Aptos" w:hAnsi="Aptos" w:cs="Aptos"/>
          <w:color w:val="000000" w:themeColor="text1"/>
        </w:rPr>
        <w:t>equb</w:t>
      </w:r>
      <w:proofErr w:type="spellEnd"/>
      <w:r w:rsidRPr="73C943FD">
        <w:rPr>
          <w:rFonts w:ascii="Aptos" w:eastAsia="Aptos" w:hAnsi="Aptos" w:cs="Aptos"/>
          <w:color w:val="000000" w:themeColor="text1"/>
        </w:rPr>
        <w:t>/</w:t>
      </w:r>
      <w:proofErr w:type="spellStart"/>
      <w:r w:rsidRPr="73C943FD">
        <w:rPr>
          <w:rFonts w:ascii="Aptos" w:eastAsia="Aptos" w:hAnsi="Aptos" w:cs="Aptos"/>
          <w:color w:val="000000" w:themeColor="text1"/>
        </w:rPr>
        <w:t>iddir</w:t>
      </w:r>
      <w:proofErr w:type="spellEnd"/>
      <w:r w:rsidRPr="73C943FD">
        <w:rPr>
          <w:rFonts w:ascii="Aptos" w:eastAsia="Aptos" w:hAnsi="Aptos" w:cs="Aptos"/>
          <w:color w:val="000000" w:themeColor="text1"/>
        </w:rPr>
        <w:t>), which offer trusted low-cost distribution mechanisms. Environmental risks, notably over-abstraction, are mitigated by hydrogeological screening and enforceable seasonal limits. Most importantly, embedding rigorous monitoring from year one—implemented by independent partners—ensures adaptive management: the program can learn quickly and correct courses where needed (</w:t>
      </w:r>
      <w:proofErr w:type="spellStart"/>
      <w:r w:rsidRPr="73C943FD">
        <w:rPr>
          <w:rFonts w:ascii="Aptos" w:eastAsia="Aptos" w:hAnsi="Aptos" w:cs="Aptos"/>
          <w:color w:val="000000" w:themeColor="text1"/>
        </w:rPr>
        <w:t>MoA</w:t>
      </w:r>
      <w:proofErr w:type="spellEnd"/>
      <w:r w:rsidRPr="73C943FD">
        <w:rPr>
          <w:rFonts w:ascii="Aptos" w:eastAsia="Aptos" w:hAnsi="Aptos" w:cs="Aptos"/>
          <w:color w:val="000000" w:themeColor="text1"/>
        </w:rPr>
        <w:t xml:space="preserve"> PIDM; IWMI; PASIDP).</w:t>
      </w:r>
    </w:p>
    <w:p w14:paraId="6B3333C7" w14:textId="105483C5" w:rsidR="007762B2" w:rsidRDefault="1BF81370" w:rsidP="73C943FD">
      <w:pPr>
        <w:ind w:firstLine="720"/>
        <w:rPr>
          <w:rFonts w:ascii="Aptos" w:eastAsia="Aptos" w:hAnsi="Aptos" w:cs="Aptos"/>
          <w:color w:val="000000" w:themeColor="text1"/>
        </w:rPr>
      </w:pPr>
      <w:r w:rsidRPr="73C943FD">
        <w:rPr>
          <w:rFonts w:ascii="Aptos" w:eastAsia="Aptos" w:hAnsi="Aptos" w:cs="Aptos"/>
          <w:color w:val="000000" w:themeColor="text1"/>
        </w:rPr>
        <w:t xml:space="preserve">Adopting CM-CSWS would represent a strategic shift: it treats water not as a standalone infrastructure problem but as the linchpin of a broader, community-centered agricultural transformation. By concentrating resources on the binding constraint—water availability—and by pairing appropriate, locally maintainable technologies with inclusive governance, market development, and environmental safeguards, CM-CSWS can move households away from acute vulnerability toward stable productivity. Delivering these outcomes requires political will, blended financing, and a sustained commitment to community partnership, but the payoffs are tangible: shorter lean seasons, improved nutrition, more stable incomes, and resilient rural economies. Beyond immediate benefits, the program creates space for long-term change—where women gain greater decision-making power through household irrigation, pastoralists preserve their herds in drought years, and rural microenterprises thrive by servicing irrigation markets. That combination of immediacy, scalability, and measurable impact answers the Global Youth Institute’s call for single, well-developed solutions. Borlaug’s legacy instructs us that agricultural technologies must be deployed with humility and in partnership with the people they intend to serve; CM-CSWS embodies that legacy by placing communities at the center of design, operation, and sustained success. As a student thinking about global food security, I see CM-CSWS not only as a technical solution, but </w:t>
      </w:r>
      <w:bookmarkStart w:id="2" w:name="_Int_kDf3HZ7Q"/>
      <w:r w:rsidRPr="73C943FD">
        <w:rPr>
          <w:rFonts w:ascii="Aptos" w:eastAsia="Aptos" w:hAnsi="Aptos" w:cs="Aptos"/>
          <w:color w:val="000000" w:themeColor="text1"/>
        </w:rPr>
        <w:t>as a way to</w:t>
      </w:r>
      <w:bookmarkEnd w:id="2"/>
      <w:r w:rsidRPr="73C943FD">
        <w:rPr>
          <w:rFonts w:ascii="Aptos" w:eastAsia="Aptos" w:hAnsi="Aptos" w:cs="Aptos"/>
          <w:color w:val="000000" w:themeColor="text1"/>
        </w:rPr>
        <w:t xml:space="preserve"> honor Borlaug’s vision—one that combines science with humanity, and innovation with compassion</w:t>
      </w:r>
    </w:p>
    <w:p w14:paraId="4E4AF622" w14:textId="2D3DEB5E" w:rsidR="007762B2" w:rsidRDefault="007762B2" w:rsidP="73C943FD">
      <w:pPr>
        <w:rPr>
          <w:rFonts w:ascii="Aptos" w:eastAsia="Aptos" w:hAnsi="Aptos" w:cs="Aptos"/>
          <w:color w:val="000000" w:themeColor="text1"/>
        </w:rPr>
      </w:pPr>
    </w:p>
    <w:p w14:paraId="76D5D886" w14:textId="583FE1E4" w:rsidR="007762B2" w:rsidRDefault="007762B2" w:rsidP="73C943FD">
      <w:pPr>
        <w:rPr>
          <w:rFonts w:ascii="Aptos" w:eastAsia="Aptos" w:hAnsi="Aptos" w:cs="Aptos"/>
          <w:color w:val="000000" w:themeColor="text1"/>
        </w:rPr>
      </w:pPr>
    </w:p>
    <w:p w14:paraId="45E11F65" w14:textId="37D967F1" w:rsidR="007762B2" w:rsidRDefault="007762B2" w:rsidP="73C943FD">
      <w:pPr>
        <w:rPr>
          <w:rFonts w:ascii="Aptos" w:eastAsia="Aptos" w:hAnsi="Aptos" w:cs="Aptos"/>
          <w:color w:val="000000" w:themeColor="text1"/>
        </w:rPr>
      </w:pPr>
    </w:p>
    <w:p w14:paraId="54E0925B" w14:textId="204DC2D3" w:rsidR="007762B2" w:rsidRDefault="007762B2" w:rsidP="73C943FD">
      <w:pPr>
        <w:rPr>
          <w:rFonts w:ascii="Aptos" w:eastAsia="Aptos" w:hAnsi="Aptos" w:cs="Aptos"/>
          <w:color w:val="000000" w:themeColor="text1"/>
        </w:rPr>
      </w:pPr>
    </w:p>
    <w:p w14:paraId="4B36197C" w14:textId="7BBF7B0A" w:rsidR="007762B2" w:rsidRDefault="007762B2" w:rsidP="73C943FD">
      <w:pPr>
        <w:rPr>
          <w:rFonts w:ascii="Aptos" w:eastAsia="Aptos" w:hAnsi="Aptos" w:cs="Aptos"/>
          <w:color w:val="000000" w:themeColor="text1"/>
        </w:rPr>
      </w:pPr>
    </w:p>
    <w:p w14:paraId="5DBA252D" w14:textId="2C34D37E" w:rsidR="007762B2" w:rsidRDefault="1BF81370" w:rsidP="00A829D4">
      <w:pPr>
        <w:jc w:val="center"/>
        <w:rPr>
          <w:rFonts w:ascii="Aptos" w:eastAsia="Aptos" w:hAnsi="Aptos" w:cs="Aptos"/>
          <w:color w:val="000000" w:themeColor="text1"/>
        </w:rPr>
      </w:pPr>
      <w:r w:rsidRPr="73C943FD">
        <w:rPr>
          <w:rFonts w:ascii="Aptos" w:eastAsia="Aptos" w:hAnsi="Aptos" w:cs="Aptos"/>
          <w:b/>
          <w:bCs/>
          <w:color w:val="000000" w:themeColor="text1"/>
        </w:rPr>
        <w:t>Works Cited:</w:t>
      </w:r>
    </w:p>
    <w:p w14:paraId="64AEA068" w14:textId="2769EA33" w:rsidR="007762B2" w:rsidRDefault="007762B2" w:rsidP="73C943FD">
      <w:pPr>
        <w:jc w:val="center"/>
        <w:rPr>
          <w:rFonts w:ascii="Aptos" w:eastAsia="Aptos" w:hAnsi="Aptos" w:cs="Aptos"/>
          <w:color w:val="000000" w:themeColor="text1"/>
        </w:rPr>
      </w:pPr>
    </w:p>
    <w:p w14:paraId="4A297B82" w14:textId="71DEE352" w:rsidR="007762B2" w:rsidRDefault="1BF81370" w:rsidP="73C943FD">
      <w:pPr>
        <w:ind w:left="720" w:hanging="720"/>
        <w:rPr>
          <w:rFonts w:ascii="Aptos" w:eastAsia="Aptos" w:hAnsi="Aptos" w:cs="Aptos"/>
          <w:color w:val="000000" w:themeColor="text1"/>
        </w:rPr>
      </w:pPr>
      <w:r w:rsidRPr="73C943FD">
        <w:rPr>
          <w:rFonts w:ascii="Aptos" w:eastAsia="Aptos" w:hAnsi="Aptos" w:cs="Aptos"/>
          <w:color w:val="000000" w:themeColor="text1"/>
        </w:rPr>
        <w:t xml:space="preserve">Food Security Information Network. </w:t>
      </w:r>
      <w:r w:rsidRPr="73C943FD">
        <w:rPr>
          <w:rFonts w:ascii="Aptos" w:eastAsia="Aptos" w:hAnsi="Aptos" w:cs="Aptos"/>
          <w:i/>
          <w:iCs/>
          <w:color w:val="000000" w:themeColor="text1"/>
        </w:rPr>
        <w:t>Global Report on Food Crises 2024.</w:t>
      </w:r>
      <w:r w:rsidRPr="73C943FD">
        <w:rPr>
          <w:rFonts w:ascii="Aptos" w:eastAsia="Aptos" w:hAnsi="Aptos" w:cs="Aptos"/>
          <w:color w:val="000000" w:themeColor="text1"/>
        </w:rPr>
        <w:t xml:space="preserve"> Food Security Information Network, 2024, </w:t>
      </w:r>
      <w:hyperlink r:id="rId4">
        <w:r w:rsidRPr="73C943FD">
          <w:rPr>
            <w:rStyle w:val="Hyperlink"/>
            <w:rFonts w:ascii="Aptos" w:eastAsia="Aptos" w:hAnsi="Aptos" w:cs="Aptos"/>
          </w:rPr>
          <w:t>https://www.fsinplatform.org/grfc2024</w:t>
        </w:r>
      </w:hyperlink>
      <w:r w:rsidRPr="73C943FD">
        <w:rPr>
          <w:rFonts w:ascii="Aptos" w:eastAsia="Aptos" w:hAnsi="Aptos" w:cs="Aptos"/>
          <w:color w:val="000000" w:themeColor="text1"/>
        </w:rPr>
        <w:t xml:space="preserve">. </w:t>
      </w:r>
    </w:p>
    <w:p w14:paraId="137B3E19" w14:textId="12FB18FA" w:rsidR="007762B2" w:rsidRDefault="1BF81370" w:rsidP="73C943FD">
      <w:pPr>
        <w:ind w:left="720" w:hanging="720"/>
        <w:rPr>
          <w:rFonts w:ascii="Aptos" w:eastAsia="Aptos" w:hAnsi="Aptos" w:cs="Aptos"/>
          <w:color w:val="000000" w:themeColor="text1"/>
        </w:rPr>
      </w:pPr>
      <w:proofErr w:type="spellStart"/>
      <w:r w:rsidRPr="73C943FD">
        <w:rPr>
          <w:rFonts w:ascii="Aptos" w:eastAsia="Aptos" w:hAnsi="Aptos" w:cs="Aptos"/>
          <w:color w:val="000000" w:themeColor="text1"/>
        </w:rPr>
        <w:t>Gizaw</w:t>
      </w:r>
      <w:proofErr w:type="spellEnd"/>
      <w:r w:rsidRPr="73C943FD">
        <w:rPr>
          <w:rFonts w:ascii="Aptos" w:eastAsia="Aptos" w:hAnsi="Aptos" w:cs="Aptos"/>
          <w:color w:val="000000" w:themeColor="text1"/>
        </w:rPr>
        <w:t xml:space="preserve">, </w:t>
      </w:r>
      <w:proofErr w:type="spellStart"/>
      <w:r w:rsidRPr="73C943FD">
        <w:rPr>
          <w:rFonts w:ascii="Aptos" w:eastAsia="Aptos" w:hAnsi="Aptos" w:cs="Aptos"/>
          <w:color w:val="000000" w:themeColor="text1"/>
        </w:rPr>
        <w:t>Getaye</w:t>
      </w:r>
      <w:proofErr w:type="spellEnd"/>
      <w:r w:rsidRPr="73C943FD">
        <w:rPr>
          <w:rFonts w:ascii="Aptos" w:eastAsia="Aptos" w:hAnsi="Aptos" w:cs="Aptos"/>
          <w:color w:val="000000" w:themeColor="text1"/>
        </w:rPr>
        <w:t xml:space="preserve">, </w:t>
      </w:r>
      <w:proofErr w:type="spellStart"/>
      <w:r w:rsidRPr="73C943FD">
        <w:rPr>
          <w:rFonts w:ascii="Aptos" w:eastAsia="Aptos" w:hAnsi="Aptos" w:cs="Aptos"/>
          <w:color w:val="000000" w:themeColor="text1"/>
        </w:rPr>
        <w:t>Wondaferahu</w:t>
      </w:r>
      <w:proofErr w:type="spellEnd"/>
      <w:r w:rsidRPr="73C943FD">
        <w:rPr>
          <w:rFonts w:ascii="Aptos" w:eastAsia="Aptos" w:hAnsi="Aptos" w:cs="Aptos"/>
          <w:color w:val="000000" w:themeColor="text1"/>
        </w:rPr>
        <w:t xml:space="preserve"> </w:t>
      </w:r>
      <w:proofErr w:type="spellStart"/>
      <w:r w:rsidRPr="73C943FD">
        <w:rPr>
          <w:rFonts w:ascii="Aptos" w:eastAsia="Aptos" w:hAnsi="Aptos" w:cs="Aptos"/>
          <w:color w:val="000000" w:themeColor="text1"/>
        </w:rPr>
        <w:t>Mulugeta</w:t>
      </w:r>
      <w:proofErr w:type="spellEnd"/>
      <w:r w:rsidRPr="73C943FD">
        <w:rPr>
          <w:rFonts w:ascii="Aptos" w:eastAsia="Aptos" w:hAnsi="Aptos" w:cs="Aptos"/>
          <w:color w:val="000000" w:themeColor="text1"/>
        </w:rPr>
        <w:t xml:space="preserve"> </w:t>
      </w:r>
      <w:proofErr w:type="spellStart"/>
      <w:r w:rsidRPr="73C943FD">
        <w:rPr>
          <w:rFonts w:ascii="Aptos" w:eastAsia="Aptos" w:hAnsi="Aptos" w:cs="Aptos"/>
          <w:color w:val="000000" w:themeColor="text1"/>
        </w:rPr>
        <w:t>Demissie</w:t>
      </w:r>
      <w:proofErr w:type="spellEnd"/>
      <w:r w:rsidRPr="73C943FD">
        <w:rPr>
          <w:rFonts w:ascii="Aptos" w:eastAsia="Aptos" w:hAnsi="Aptos" w:cs="Aptos"/>
          <w:color w:val="000000" w:themeColor="text1"/>
        </w:rPr>
        <w:t xml:space="preserve">, and Surafel Melak Dilie. “Assessing the Impact of Small-Scale Irrigation on Rural Livelihood Outcomes in Ethiopia: A Meta-Regression Analysis.” </w:t>
      </w:r>
      <w:r w:rsidRPr="73C943FD">
        <w:rPr>
          <w:rFonts w:ascii="Aptos" w:eastAsia="Aptos" w:hAnsi="Aptos" w:cs="Aptos"/>
          <w:i/>
          <w:iCs/>
          <w:color w:val="000000" w:themeColor="text1"/>
        </w:rPr>
        <w:t>Discover Sustainability</w:t>
      </w:r>
      <w:r w:rsidRPr="73C943FD">
        <w:rPr>
          <w:rFonts w:ascii="Aptos" w:eastAsia="Aptos" w:hAnsi="Aptos" w:cs="Aptos"/>
          <w:color w:val="000000" w:themeColor="text1"/>
        </w:rPr>
        <w:t xml:space="preserve">, 2025, </w:t>
      </w:r>
      <w:hyperlink r:id="rId5">
        <w:r w:rsidRPr="73C943FD">
          <w:rPr>
            <w:rStyle w:val="Hyperlink"/>
            <w:rFonts w:ascii="Aptos" w:eastAsia="Aptos" w:hAnsi="Aptos" w:cs="Aptos"/>
          </w:rPr>
          <w:t>https://link.springer.com/article/10.1007/s43621-025-01156-2</w:t>
        </w:r>
      </w:hyperlink>
      <w:r w:rsidRPr="73C943FD">
        <w:rPr>
          <w:rFonts w:ascii="Aptos" w:eastAsia="Aptos" w:hAnsi="Aptos" w:cs="Aptos"/>
          <w:color w:val="000000" w:themeColor="text1"/>
        </w:rPr>
        <w:t xml:space="preserve">. </w:t>
      </w:r>
    </w:p>
    <w:p w14:paraId="0A8102FA" w14:textId="041E7241" w:rsidR="007762B2" w:rsidRDefault="1BF81370" w:rsidP="73C943FD">
      <w:pPr>
        <w:ind w:left="720" w:hanging="720"/>
        <w:rPr>
          <w:rFonts w:ascii="Aptos" w:eastAsia="Aptos" w:hAnsi="Aptos" w:cs="Aptos"/>
          <w:color w:val="000000" w:themeColor="text1"/>
        </w:rPr>
      </w:pPr>
      <w:r w:rsidRPr="73C943FD">
        <w:rPr>
          <w:rFonts w:ascii="Aptos" w:eastAsia="Aptos" w:hAnsi="Aptos" w:cs="Aptos"/>
          <w:color w:val="000000" w:themeColor="text1"/>
        </w:rPr>
        <w:t xml:space="preserve">International Food Policy Research Institute (IFPRI). Mekonnen, Dawit K., et al. “Irrigation Improves Weight-for-Height Z-Scores of Children under Five, and Women's and Household Dietary Diversity Scores in Ethiopia and Tanzania.” </w:t>
      </w:r>
      <w:r w:rsidRPr="73C943FD">
        <w:rPr>
          <w:rFonts w:ascii="Aptos" w:eastAsia="Aptos" w:hAnsi="Aptos" w:cs="Aptos"/>
          <w:i/>
          <w:iCs/>
          <w:color w:val="000000" w:themeColor="text1"/>
        </w:rPr>
        <w:t>Maternal &amp; Child Nutrition</w:t>
      </w:r>
      <w:r w:rsidRPr="73C943FD">
        <w:rPr>
          <w:rFonts w:ascii="Aptos" w:eastAsia="Aptos" w:hAnsi="Aptos" w:cs="Aptos"/>
          <w:color w:val="000000" w:themeColor="text1"/>
        </w:rPr>
        <w:t xml:space="preserve">, vol. 18, 2022, e13395, </w:t>
      </w:r>
      <w:hyperlink r:id="rId6">
        <w:r w:rsidRPr="73C943FD">
          <w:rPr>
            <w:rStyle w:val="Hyperlink"/>
            <w:rFonts w:ascii="Aptos" w:eastAsia="Aptos" w:hAnsi="Aptos" w:cs="Aptos"/>
          </w:rPr>
          <w:t>https://doi.org/10.1111/mcn.13395</w:t>
        </w:r>
      </w:hyperlink>
      <w:r w:rsidRPr="73C943FD">
        <w:rPr>
          <w:rFonts w:ascii="Aptos" w:eastAsia="Aptos" w:hAnsi="Aptos" w:cs="Aptos"/>
          <w:color w:val="000000" w:themeColor="text1"/>
        </w:rPr>
        <w:t xml:space="preserve">. </w:t>
      </w:r>
    </w:p>
    <w:p w14:paraId="35788AED" w14:textId="00F389F8" w:rsidR="007762B2" w:rsidRDefault="1BF81370" w:rsidP="73C943FD">
      <w:pPr>
        <w:ind w:left="720" w:hanging="720"/>
        <w:rPr>
          <w:rFonts w:ascii="Aptos" w:eastAsia="Aptos" w:hAnsi="Aptos" w:cs="Aptos"/>
          <w:color w:val="000000" w:themeColor="text1"/>
        </w:rPr>
      </w:pPr>
      <w:r w:rsidRPr="73C943FD">
        <w:rPr>
          <w:rFonts w:ascii="Aptos" w:eastAsia="Aptos" w:hAnsi="Aptos" w:cs="Aptos"/>
          <w:color w:val="000000" w:themeColor="text1"/>
        </w:rPr>
        <w:t xml:space="preserve">International Water Management Institute (IWMI). “Business Models for Solar-Powered Irrigation in Ethiopia.” IWMI Research Briefs, 2021, </w:t>
      </w:r>
      <w:hyperlink r:id="rId7">
        <w:r w:rsidRPr="73C943FD">
          <w:rPr>
            <w:rStyle w:val="Hyperlink"/>
            <w:rFonts w:ascii="Aptos" w:eastAsia="Aptos" w:hAnsi="Aptos" w:cs="Aptos"/>
          </w:rPr>
          <w:t>https://cgspace.cgiar.org/items/462352df-7d5c-4f45-8556-0f7b625eaa47</w:t>
        </w:r>
      </w:hyperlink>
      <w:r w:rsidRPr="73C943FD">
        <w:rPr>
          <w:rFonts w:ascii="Aptos" w:eastAsia="Aptos" w:hAnsi="Aptos" w:cs="Aptos"/>
          <w:color w:val="000000" w:themeColor="text1"/>
        </w:rPr>
        <w:t>. Accessed 26 Aug. 2025.</w:t>
      </w:r>
    </w:p>
    <w:p w14:paraId="76BC09FD" w14:textId="1BBEDA85" w:rsidR="007762B2" w:rsidRDefault="1BF81370" w:rsidP="73C943FD">
      <w:pPr>
        <w:ind w:left="720" w:hanging="720"/>
        <w:rPr>
          <w:rFonts w:ascii="Aptos" w:eastAsia="Aptos" w:hAnsi="Aptos" w:cs="Aptos"/>
          <w:color w:val="000000" w:themeColor="text1"/>
        </w:rPr>
      </w:pPr>
      <w:proofErr w:type="spellStart"/>
      <w:r w:rsidRPr="73C943FD">
        <w:rPr>
          <w:rFonts w:ascii="Aptos" w:eastAsia="Aptos" w:hAnsi="Aptos" w:cs="Aptos"/>
          <w:color w:val="000000" w:themeColor="text1"/>
        </w:rPr>
        <w:t>iDE</w:t>
      </w:r>
      <w:proofErr w:type="spellEnd"/>
      <w:r w:rsidRPr="73C943FD">
        <w:rPr>
          <w:rFonts w:ascii="Aptos" w:eastAsia="Aptos" w:hAnsi="Aptos" w:cs="Aptos"/>
          <w:color w:val="000000" w:themeColor="text1"/>
        </w:rPr>
        <w:t xml:space="preserve"> Global. “Drip+ Alliance.” </w:t>
      </w:r>
      <w:proofErr w:type="spellStart"/>
      <w:r w:rsidRPr="73C943FD">
        <w:rPr>
          <w:rFonts w:ascii="Aptos" w:eastAsia="Aptos" w:hAnsi="Aptos" w:cs="Aptos"/>
          <w:i/>
          <w:iCs/>
          <w:color w:val="000000" w:themeColor="text1"/>
        </w:rPr>
        <w:t>iDE</w:t>
      </w:r>
      <w:proofErr w:type="spellEnd"/>
      <w:r w:rsidRPr="73C943FD">
        <w:rPr>
          <w:rFonts w:ascii="Aptos" w:eastAsia="Aptos" w:hAnsi="Aptos" w:cs="Aptos"/>
          <w:i/>
          <w:iCs/>
          <w:color w:val="000000" w:themeColor="text1"/>
        </w:rPr>
        <w:t xml:space="preserve"> Global</w:t>
      </w:r>
      <w:r w:rsidRPr="73C943FD">
        <w:rPr>
          <w:rFonts w:ascii="Aptos" w:eastAsia="Aptos" w:hAnsi="Aptos" w:cs="Aptos"/>
          <w:color w:val="000000" w:themeColor="text1"/>
        </w:rPr>
        <w:t xml:space="preserve">, 2025, </w:t>
      </w:r>
      <w:hyperlink r:id="rId8">
        <w:r w:rsidRPr="73C943FD">
          <w:rPr>
            <w:rStyle w:val="Hyperlink"/>
            <w:rFonts w:ascii="Aptos" w:eastAsia="Aptos" w:hAnsi="Aptos" w:cs="Aptos"/>
          </w:rPr>
          <w:t>https://www.ideglobal.org/story/drip-alliance</w:t>
        </w:r>
      </w:hyperlink>
      <w:r w:rsidRPr="73C943FD">
        <w:rPr>
          <w:rFonts w:ascii="Aptos" w:eastAsia="Aptos" w:hAnsi="Aptos" w:cs="Aptos"/>
          <w:color w:val="000000" w:themeColor="text1"/>
        </w:rPr>
        <w:t xml:space="preserve">. </w:t>
      </w:r>
    </w:p>
    <w:p w14:paraId="1A5E5475" w14:textId="784B8763" w:rsidR="007762B2" w:rsidRDefault="1BF81370" w:rsidP="73C943FD">
      <w:pPr>
        <w:ind w:left="720" w:hanging="720"/>
        <w:rPr>
          <w:rFonts w:ascii="Aptos" w:eastAsia="Aptos" w:hAnsi="Aptos" w:cs="Aptos"/>
          <w:color w:val="000000" w:themeColor="text1"/>
        </w:rPr>
      </w:pPr>
      <w:r w:rsidRPr="73C943FD">
        <w:rPr>
          <w:rFonts w:ascii="Aptos" w:eastAsia="Aptos" w:hAnsi="Aptos" w:cs="Aptos"/>
          <w:color w:val="000000" w:themeColor="text1"/>
        </w:rPr>
        <w:t xml:space="preserve">Feed the Future Innovation Lab for Small-Scale Irrigation (ILSSI). </w:t>
      </w:r>
      <w:r w:rsidRPr="73C943FD">
        <w:rPr>
          <w:rFonts w:ascii="Aptos" w:eastAsia="Aptos" w:hAnsi="Aptos" w:cs="Aptos"/>
          <w:i/>
          <w:iCs/>
          <w:color w:val="000000" w:themeColor="text1"/>
        </w:rPr>
        <w:t>Final Report: Improving Nutrition and Resilience Through Small-Scale Irrigation in Ethiopia.</w:t>
      </w:r>
      <w:r w:rsidRPr="73C943FD">
        <w:rPr>
          <w:rFonts w:ascii="Aptos" w:eastAsia="Aptos" w:hAnsi="Aptos" w:cs="Aptos"/>
          <w:color w:val="000000" w:themeColor="text1"/>
        </w:rPr>
        <w:t xml:space="preserve"> Norman Borlaug Institute/Texas A&amp;M University, 2023, </w:t>
      </w:r>
      <w:hyperlink r:id="rId9">
        <w:r w:rsidRPr="73C943FD">
          <w:rPr>
            <w:rStyle w:val="Hyperlink"/>
            <w:rFonts w:ascii="Aptos" w:eastAsia="Aptos" w:hAnsi="Aptos" w:cs="Aptos"/>
          </w:rPr>
          <w:t>https://borlaug.tamu.edu/wp-content/uploads/sites/3/2023/09/2023-09-20-ILSSI-FINAL-Report.pdf</w:t>
        </w:r>
      </w:hyperlink>
      <w:r w:rsidRPr="73C943FD">
        <w:rPr>
          <w:rFonts w:ascii="Aptos" w:eastAsia="Aptos" w:hAnsi="Aptos" w:cs="Aptos"/>
          <w:color w:val="000000" w:themeColor="text1"/>
        </w:rPr>
        <w:t>. Accessed 26 Aug. 2025.</w:t>
      </w:r>
    </w:p>
    <w:p w14:paraId="3C3014D7" w14:textId="4E382374" w:rsidR="007762B2" w:rsidRDefault="1BF81370" w:rsidP="73C943FD">
      <w:pPr>
        <w:ind w:left="720" w:hanging="720"/>
        <w:rPr>
          <w:rFonts w:ascii="Aptos" w:eastAsia="Aptos" w:hAnsi="Aptos" w:cs="Aptos"/>
          <w:color w:val="000000" w:themeColor="text1"/>
        </w:rPr>
      </w:pPr>
      <w:r w:rsidRPr="73C943FD">
        <w:rPr>
          <w:rFonts w:ascii="Aptos" w:eastAsia="Aptos" w:hAnsi="Aptos" w:cs="Aptos"/>
          <w:color w:val="000000" w:themeColor="text1"/>
        </w:rPr>
        <w:t xml:space="preserve">Federal Democratic Republic of Ethiopia, Ministry of Agriculture. </w:t>
      </w:r>
      <w:r w:rsidRPr="73C943FD">
        <w:rPr>
          <w:rFonts w:ascii="Aptos" w:eastAsia="Aptos" w:hAnsi="Aptos" w:cs="Aptos"/>
          <w:i/>
          <w:iCs/>
          <w:color w:val="000000" w:themeColor="text1"/>
        </w:rPr>
        <w:t>Participatory Irrigation Development and Management: Technical Manual for Water User Associations.</w:t>
      </w:r>
      <w:r w:rsidRPr="73C943FD">
        <w:rPr>
          <w:rFonts w:ascii="Aptos" w:eastAsia="Aptos" w:hAnsi="Aptos" w:cs="Aptos"/>
          <w:color w:val="000000" w:themeColor="text1"/>
        </w:rPr>
        <w:t xml:space="preserve"> </w:t>
      </w:r>
      <w:proofErr w:type="spellStart"/>
      <w:r w:rsidRPr="73C943FD">
        <w:rPr>
          <w:rFonts w:ascii="Aptos" w:eastAsia="Aptos" w:hAnsi="Aptos" w:cs="Aptos"/>
          <w:color w:val="000000" w:themeColor="text1"/>
        </w:rPr>
        <w:t>MoA</w:t>
      </w:r>
      <w:proofErr w:type="spellEnd"/>
      <w:r w:rsidRPr="73C943FD">
        <w:rPr>
          <w:rFonts w:ascii="Aptos" w:eastAsia="Aptos" w:hAnsi="Aptos" w:cs="Aptos"/>
          <w:color w:val="000000" w:themeColor="text1"/>
        </w:rPr>
        <w:t xml:space="preserve">, 2018, </w:t>
      </w:r>
      <w:hyperlink r:id="rId10">
        <w:r w:rsidRPr="73C943FD">
          <w:rPr>
            <w:rStyle w:val="Hyperlink"/>
            <w:rFonts w:ascii="Aptos" w:eastAsia="Aptos" w:hAnsi="Aptos" w:cs="Aptos"/>
          </w:rPr>
          <w:t>https://www.moa.gov.et/wp-content/uploads/2024/11/201811_SSIGL-33-Participatory-Irrigation-Development-and-ManagementPIDM-compressed-1.pdf</w:t>
        </w:r>
      </w:hyperlink>
      <w:r w:rsidRPr="73C943FD">
        <w:rPr>
          <w:rFonts w:ascii="Aptos" w:eastAsia="Aptos" w:hAnsi="Aptos" w:cs="Aptos"/>
          <w:color w:val="000000" w:themeColor="text1"/>
        </w:rPr>
        <w:t xml:space="preserve">. </w:t>
      </w:r>
    </w:p>
    <w:p w14:paraId="204CD7E5" w14:textId="47F9E438" w:rsidR="007762B2" w:rsidRDefault="1BF81370" w:rsidP="73C943FD">
      <w:pPr>
        <w:ind w:left="720" w:hanging="720"/>
        <w:rPr>
          <w:rFonts w:ascii="Aptos" w:eastAsia="Aptos" w:hAnsi="Aptos" w:cs="Aptos"/>
          <w:color w:val="000000" w:themeColor="text1"/>
        </w:rPr>
      </w:pPr>
      <w:r w:rsidRPr="73C943FD">
        <w:rPr>
          <w:rFonts w:ascii="Aptos" w:eastAsia="Aptos" w:hAnsi="Aptos" w:cs="Aptos"/>
          <w:color w:val="000000" w:themeColor="text1"/>
        </w:rPr>
        <w:t xml:space="preserve">International Fund for Agricultural Development (IFAD). “Participatory Small-Scale Irrigation Development </w:t>
      </w:r>
      <w:proofErr w:type="spellStart"/>
      <w:r w:rsidRPr="73C943FD">
        <w:rPr>
          <w:rFonts w:ascii="Aptos" w:eastAsia="Aptos" w:hAnsi="Aptos" w:cs="Aptos"/>
          <w:color w:val="000000" w:themeColor="text1"/>
        </w:rPr>
        <w:t>Programme</w:t>
      </w:r>
      <w:proofErr w:type="spellEnd"/>
      <w:r w:rsidRPr="73C943FD">
        <w:rPr>
          <w:rFonts w:ascii="Aptos" w:eastAsia="Aptos" w:hAnsi="Aptos" w:cs="Aptos"/>
          <w:color w:val="000000" w:themeColor="text1"/>
        </w:rPr>
        <w:t xml:space="preserve"> (PASIDP).” IFAD, 2017–2024, </w:t>
      </w:r>
      <w:hyperlink r:id="rId11">
        <w:r w:rsidRPr="73C943FD">
          <w:rPr>
            <w:rStyle w:val="Hyperlink"/>
            <w:rFonts w:ascii="Aptos" w:eastAsia="Aptos" w:hAnsi="Aptos" w:cs="Aptos"/>
          </w:rPr>
          <w:t>https://www.ifad.org/en/w/projects/2000001134</w:t>
        </w:r>
      </w:hyperlink>
      <w:r w:rsidRPr="73C943FD">
        <w:rPr>
          <w:rFonts w:ascii="Aptos" w:eastAsia="Aptos" w:hAnsi="Aptos" w:cs="Aptos"/>
          <w:color w:val="000000" w:themeColor="text1"/>
        </w:rPr>
        <w:t xml:space="preserve">. </w:t>
      </w:r>
    </w:p>
    <w:p w14:paraId="29E5439B" w14:textId="23B75641" w:rsidR="007762B2" w:rsidRDefault="1BF81370" w:rsidP="73C943FD">
      <w:pPr>
        <w:ind w:left="720" w:hanging="720"/>
        <w:rPr>
          <w:rFonts w:ascii="Aptos" w:eastAsia="Aptos" w:hAnsi="Aptos" w:cs="Aptos"/>
          <w:color w:val="000000" w:themeColor="text1"/>
        </w:rPr>
      </w:pPr>
      <w:r w:rsidRPr="73C943FD">
        <w:rPr>
          <w:rFonts w:ascii="Aptos" w:eastAsia="Aptos" w:hAnsi="Aptos" w:cs="Aptos"/>
          <w:color w:val="000000" w:themeColor="text1"/>
        </w:rPr>
        <w:lastRenderedPageBreak/>
        <w:t xml:space="preserve">World Bank. </w:t>
      </w:r>
      <w:r w:rsidRPr="73C943FD">
        <w:rPr>
          <w:rFonts w:ascii="Aptos" w:eastAsia="Aptos" w:hAnsi="Aptos" w:cs="Aptos"/>
          <w:i/>
          <w:iCs/>
          <w:color w:val="000000" w:themeColor="text1"/>
        </w:rPr>
        <w:t>Food Systems Resilience Program for Eastern and Southern Africa (P178566): Implementation Status &amp; Results Report.</w:t>
      </w:r>
      <w:r w:rsidRPr="73C943FD">
        <w:rPr>
          <w:rFonts w:ascii="Aptos" w:eastAsia="Aptos" w:hAnsi="Aptos" w:cs="Aptos"/>
          <w:color w:val="000000" w:themeColor="text1"/>
        </w:rPr>
        <w:t xml:space="preserve"> World Bank, 29 Apr. 2024, </w:t>
      </w:r>
      <w:hyperlink r:id="rId12">
        <w:r w:rsidRPr="73C943FD">
          <w:rPr>
            <w:rStyle w:val="Hyperlink"/>
            <w:rFonts w:ascii="Aptos" w:eastAsia="Aptos" w:hAnsi="Aptos" w:cs="Aptos"/>
          </w:rPr>
          <w:t>https://documents1.worldbank.org/curated/en/099042924190027356/pdf/P17856611064180af198ee19859bb91fc03.pdf</w:t>
        </w:r>
      </w:hyperlink>
      <w:r w:rsidRPr="73C943FD">
        <w:rPr>
          <w:rFonts w:ascii="Aptos" w:eastAsia="Aptos" w:hAnsi="Aptos" w:cs="Aptos"/>
          <w:color w:val="000000" w:themeColor="text1"/>
        </w:rPr>
        <w:t xml:space="preserve">. </w:t>
      </w:r>
    </w:p>
    <w:p w14:paraId="2E9FF1B7" w14:textId="5DAC447E" w:rsidR="007762B2" w:rsidRDefault="1BF81370" w:rsidP="73C943FD">
      <w:pPr>
        <w:rPr>
          <w:rFonts w:ascii="Aptos" w:eastAsia="Aptos" w:hAnsi="Aptos" w:cs="Aptos"/>
          <w:color w:val="000000" w:themeColor="text1"/>
        </w:rPr>
      </w:pPr>
      <w:r w:rsidRPr="73C943FD">
        <w:rPr>
          <w:rFonts w:ascii="Aptos" w:eastAsia="Aptos" w:hAnsi="Aptos" w:cs="Aptos"/>
          <w:color w:val="000000" w:themeColor="text1"/>
        </w:rPr>
        <w:t xml:space="preserve">World Bank. “In Ethiopia, Reviving Soil and Improving Farming Livelihoods.” </w:t>
      </w:r>
      <w:r w:rsidRPr="73C943FD">
        <w:rPr>
          <w:rFonts w:ascii="Aptos" w:eastAsia="Aptos" w:hAnsi="Aptos" w:cs="Aptos"/>
          <w:i/>
          <w:iCs/>
          <w:color w:val="000000" w:themeColor="text1"/>
        </w:rPr>
        <w:t>World Bank Feature Story</w:t>
      </w:r>
      <w:r w:rsidRPr="73C943FD">
        <w:rPr>
          <w:rFonts w:ascii="Aptos" w:eastAsia="Aptos" w:hAnsi="Aptos" w:cs="Aptos"/>
          <w:color w:val="000000" w:themeColor="text1"/>
        </w:rPr>
        <w:t xml:space="preserve">, 19 Aug. 2025, </w:t>
      </w:r>
      <w:hyperlink r:id="rId13">
        <w:r w:rsidRPr="73C943FD">
          <w:rPr>
            <w:rStyle w:val="Hyperlink"/>
            <w:rFonts w:ascii="Aptos" w:eastAsia="Aptos" w:hAnsi="Aptos" w:cs="Aptos"/>
          </w:rPr>
          <w:t>https://www.worldbank.org/en/news/feature/2025/08/19/in-ethiopia-reviving-soil-and-improving-farming-livelihoods</w:t>
        </w:r>
      </w:hyperlink>
      <w:r w:rsidRPr="73C943FD">
        <w:rPr>
          <w:rFonts w:ascii="Aptos" w:eastAsia="Aptos" w:hAnsi="Aptos" w:cs="Aptos"/>
          <w:color w:val="000000" w:themeColor="text1"/>
        </w:rPr>
        <w:t xml:space="preserve">. </w:t>
      </w:r>
    </w:p>
    <w:p w14:paraId="1CB4B3FA" w14:textId="5E56C7A0" w:rsidR="007762B2" w:rsidRDefault="007762B2" w:rsidP="73C943FD">
      <w:pPr>
        <w:rPr>
          <w:rFonts w:ascii="Aptos" w:eastAsia="Aptos" w:hAnsi="Aptos" w:cs="Aptos"/>
          <w:color w:val="000000" w:themeColor="text1"/>
        </w:rPr>
      </w:pPr>
    </w:p>
    <w:p w14:paraId="2C078E63" w14:textId="5581E408" w:rsidR="007762B2" w:rsidRDefault="007762B2"/>
    <w:sectPr w:rsidR="00776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NrITbwB3G6E4Wn" int2:id="07RlTCfZ">
      <int2:state int2:value="Rejected" int2:type="spell"/>
    </int2:textHash>
    <int2:textHash int2:hashCode="eNWgoArS4/hYHv" int2:id="cG3MR8Ho">
      <int2:state int2:value="Rejected" int2:type="spell"/>
    </int2:textHash>
    <int2:textHash int2:hashCode="knMXxuv0VWvjrp" int2:id="MQZQ9BWJ">
      <int2:state int2:value="Rejected" int2:type="spell"/>
    </int2:textHash>
    <int2:textHash int2:hashCode="U6HwKh8vrJNhjN" int2:id="ATrAZ8hH">
      <int2:state int2:value="Rejected" int2:type="spell"/>
    </int2:textHash>
    <int2:textHash int2:hashCode="8CYbA3ua5drJ3Y" int2:id="MVsQmuEQ">
      <int2:state int2:value="Rejected" int2:type="spell"/>
    </int2:textHash>
    <int2:textHash int2:hashCode="VudC0iZq9zv1S6" int2:id="PY1ZOfeG">
      <int2:state int2:value="Rejected" int2:type="spell"/>
    </int2:textHash>
    <int2:bookmark int2:bookmarkName="_Int_kDf3HZ7Q" int2:invalidationBookmarkName="" int2:hashCode="LxtIZJFVCo9qm1" int2:id="mdfit0Tc">
      <int2:state int2:value="Rejected" int2:type="style"/>
    </int2:bookmark>
    <int2:bookmark int2:bookmarkName="_Int_q2xt3R5v" int2:invalidationBookmarkName="" int2:hashCode="x3pdDpVPedLAD9" int2:id="d98BXPz7">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775105"/>
    <w:rsid w:val="007762B2"/>
    <w:rsid w:val="00A829D4"/>
    <w:rsid w:val="00B71271"/>
    <w:rsid w:val="00C1336D"/>
    <w:rsid w:val="00DF0141"/>
    <w:rsid w:val="0C04FED2"/>
    <w:rsid w:val="1059ECF5"/>
    <w:rsid w:val="11EF4336"/>
    <w:rsid w:val="130BD00F"/>
    <w:rsid w:val="13A27BE2"/>
    <w:rsid w:val="178E7911"/>
    <w:rsid w:val="18775105"/>
    <w:rsid w:val="1B05E97A"/>
    <w:rsid w:val="1BF81370"/>
    <w:rsid w:val="1D9CA0BB"/>
    <w:rsid w:val="2A0F761A"/>
    <w:rsid w:val="2EDF9404"/>
    <w:rsid w:val="35BC61C9"/>
    <w:rsid w:val="5502F32A"/>
    <w:rsid w:val="60A5FBDF"/>
    <w:rsid w:val="62154889"/>
    <w:rsid w:val="6DF4EFAC"/>
    <w:rsid w:val="73C9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5105"/>
  <w15:chartTrackingRefBased/>
  <w15:docId w15:val="{11AAA19F-F893-4DDD-A428-C31D5A2A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73C943F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eglobal.org/story/drip-alliance" TargetMode="External"/><Relationship Id="rId13" Type="http://schemas.openxmlformats.org/officeDocument/2006/relationships/hyperlink" Target="https://www.worldbank.org/en/news/feature/2025/08/19/in-ethiopia-reviving-soil-and-improving-farming-livelihoods" TargetMode="External"/><Relationship Id="rId3" Type="http://schemas.openxmlformats.org/officeDocument/2006/relationships/webSettings" Target="webSettings.xml"/><Relationship Id="rId7" Type="http://schemas.openxmlformats.org/officeDocument/2006/relationships/hyperlink" Target="https://cgspace.cgiar.org/items/462352df-7d5c-4f45-8556-0f7b625eaa47" TargetMode="External"/><Relationship Id="rId12" Type="http://schemas.openxmlformats.org/officeDocument/2006/relationships/hyperlink" Target="https://documents1.worldbank.org/curated/en/099042924190027356/pdf/P17856611064180af198ee19859bb91fc03.pdf" TargetMode="External"/><Relationship Id="rId2" Type="http://schemas.openxmlformats.org/officeDocument/2006/relationships/settings" Target="settings.xml"/><Relationship Id="rId16" Type="http://schemas.microsoft.com/office/2020/10/relationships/intelligence" Target="intelligence2.xml"/><Relationship Id="rId1" Type="http://schemas.openxmlformats.org/officeDocument/2006/relationships/styles" Target="styles.xml"/><Relationship Id="rId6" Type="http://schemas.openxmlformats.org/officeDocument/2006/relationships/hyperlink" Target="https://doi.org/10.1111/mcn.13395" TargetMode="External"/><Relationship Id="rId11" Type="http://schemas.openxmlformats.org/officeDocument/2006/relationships/hyperlink" Target="https://www.ifad.org/en/w/projects/2000001134" TargetMode="External"/><Relationship Id="rId5" Type="http://schemas.openxmlformats.org/officeDocument/2006/relationships/hyperlink" Target="https://link.springer.com/article/10.1007/s43621-025-01156-2" TargetMode="External"/><Relationship Id="rId15" Type="http://schemas.openxmlformats.org/officeDocument/2006/relationships/theme" Target="theme/theme1.xml"/><Relationship Id="rId10" Type="http://schemas.openxmlformats.org/officeDocument/2006/relationships/hyperlink" Target="https://www.moa.gov.et/wp-content/uploads/2024/11/201811_SSIGL-33-Participatory-Irrigation-Development-and-ManagementPIDM-compressed-1.pdf" TargetMode="External"/><Relationship Id="rId4" Type="http://schemas.openxmlformats.org/officeDocument/2006/relationships/hyperlink" Target="https://www.fsinplatform.org/grfc2024" TargetMode="External"/><Relationship Id="rId9" Type="http://schemas.openxmlformats.org/officeDocument/2006/relationships/hyperlink" Target="https://borlaug.tamu.edu/wp-content/uploads/sites/3/2023/09/2023-09-20-ILSSI-FINAL-Repor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2772</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Aadi (Hempstead-Grade 12)</dc:creator>
  <cp:keywords/>
  <dc:description/>
  <cp:lastModifiedBy>Austin castilloleovan</cp:lastModifiedBy>
  <cp:revision>2</cp:revision>
  <dcterms:created xsi:type="dcterms:W3CDTF">2025-09-12T16:00:00Z</dcterms:created>
  <dcterms:modified xsi:type="dcterms:W3CDTF">2025-09-12T16:00:00Z</dcterms:modified>
</cp:coreProperties>
</file>