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2D0FB" w14:textId="123A1D89" w:rsidR="004E3FF5" w:rsidRPr="00755F95" w:rsidRDefault="0014182D" w:rsidP="00755F95">
      <w:pPr>
        <w:pBdr>
          <w:top w:val="nil"/>
          <w:left w:val="nil"/>
          <w:bottom w:val="nil"/>
          <w:right w:val="nil"/>
          <w:between w:val="nil"/>
        </w:pBdr>
        <w:tabs>
          <w:tab w:val="center" w:pos="4680"/>
          <w:tab w:val="right" w:pos="9360"/>
        </w:tabs>
        <w:spacing w:after="0" w:line="240" w:lineRule="auto"/>
        <w:jc w:val="center"/>
        <w:rPr>
          <w:rFonts w:asciiTheme="minorHAnsi" w:hAnsiTheme="minorHAnsi" w:cstheme="minorHAnsi"/>
          <w:b/>
          <w:sz w:val="28"/>
          <w:szCs w:val="28"/>
        </w:rPr>
      </w:pPr>
      <w:r w:rsidRPr="00755F95">
        <w:rPr>
          <w:rFonts w:asciiTheme="minorHAnsi" w:hAnsiTheme="minorHAnsi" w:cstheme="minorHAnsi"/>
          <w:b/>
          <w:sz w:val="28"/>
          <w:szCs w:val="28"/>
        </w:rPr>
        <w:t>Impact of the UK’s Foreign Aid Spending on Domestic Food Insecurity: Should Resources be Rebalanced?</w:t>
      </w:r>
    </w:p>
    <w:p w14:paraId="361119AD" w14:textId="77777777" w:rsidR="0014182D" w:rsidRDefault="0014182D"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32"/>
          <w:szCs w:val="32"/>
        </w:rPr>
      </w:pPr>
    </w:p>
    <w:p w14:paraId="7354C2AD" w14:textId="1B746079" w:rsidR="0014182D" w:rsidRDefault="0014182D"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rPr>
      </w:pPr>
      <w:r w:rsidRPr="0056621C">
        <w:rPr>
          <w:rFonts w:asciiTheme="minorHAnsi" w:hAnsiTheme="minorHAnsi" w:cstheme="minorHAnsi"/>
          <w:b/>
        </w:rPr>
        <w:t>Introduction</w:t>
      </w:r>
    </w:p>
    <w:p w14:paraId="37441C15" w14:textId="6F4A5A5B" w:rsidR="000F4B3B" w:rsidRDefault="000F4B3B" w:rsidP="00C143E3">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0F4B3B">
        <w:rPr>
          <w:rFonts w:asciiTheme="minorHAnsi" w:hAnsiTheme="minorHAnsi" w:cstheme="minorHAnsi"/>
          <w:bCs/>
        </w:rPr>
        <w:t>Would you donate to charity if you could not feed your own children? This central fiscal and ethical dilemma has challenged the United Kingdom, which for years committed 0.7% of Gross National Income (GNI) to Official Development Assistance (ODA) (House of Commons Library). However, a series of macroeconomic shocks have strained public and household finances. This has pushed domestic food insecurity within the UK to crisis levels, with 7.2 million affected in 2023, including 1 in 7 children, and over 3.1 million food parcels distributed (Food Foundation; Trussell Trust). For many families, this means turning to food banks or relying on free school meals just to get by. This paper examines how a phased reallocation of the UK’s foreign aid spending could directly address domestic food insecurity while sustaining core overseas commitments.</w:t>
      </w:r>
    </w:p>
    <w:p w14:paraId="1C0E6CE6" w14:textId="77777777" w:rsidR="000F4B3B" w:rsidRDefault="000F4B3B" w:rsidP="00C143E3">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p>
    <w:p w14:paraId="5C2A26FF" w14:textId="336387DF" w:rsidR="0014182D" w:rsidRPr="0056621C" w:rsidRDefault="006B3B3F"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rPr>
      </w:pPr>
      <w:r w:rsidRPr="0056621C">
        <w:rPr>
          <w:rFonts w:asciiTheme="minorHAnsi" w:hAnsiTheme="minorHAnsi" w:cstheme="minorHAnsi"/>
          <w:b/>
        </w:rPr>
        <w:t>Country</w:t>
      </w:r>
      <w:r w:rsidR="00A95949" w:rsidRPr="0056621C">
        <w:rPr>
          <w:rFonts w:asciiTheme="minorHAnsi" w:hAnsiTheme="minorHAnsi" w:cstheme="minorHAnsi"/>
          <w:b/>
        </w:rPr>
        <w:t xml:space="preserve"> and Family Context</w:t>
      </w:r>
    </w:p>
    <w:p w14:paraId="65388502" w14:textId="644A9A7D" w:rsidR="0051391C" w:rsidRDefault="00B5681D" w:rsidP="00B5681D">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B5681D">
        <w:rPr>
          <w:rFonts w:asciiTheme="minorHAnsi" w:hAnsiTheme="minorHAnsi" w:cstheme="minorHAnsi"/>
          <w:bCs/>
        </w:rPr>
        <w:t xml:space="preserve">The UK is a high-income Western European nation of 68 million, with 84% urban residents and a largely services-based economy. Only 57% of food consumed is produced domestically, requiring heavy imports, especially of fruits and vegetables </w:t>
      </w:r>
      <w:r w:rsidR="00E33435" w:rsidRPr="00E33435">
        <w:rPr>
          <w:rFonts w:asciiTheme="minorHAnsi" w:hAnsiTheme="minorHAnsi" w:cstheme="minorHAnsi"/>
          <w:bCs/>
        </w:rPr>
        <w:t xml:space="preserve">(World Bank; Defra, </w:t>
      </w:r>
      <w:r w:rsidR="00E33435" w:rsidRPr="00E33435">
        <w:rPr>
          <w:rFonts w:asciiTheme="minorHAnsi" w:hAnsiTheme="minorHAnsi" w:cstheme="minorHAnsi"/>
          <w:bCs/>
          <w:i/>
          <w:iCs/>
        </w:rPr>
        <w:t>Agricultural Land Use in the United Kingdom</w:t>
      </w:r>
      <w:r w:rsidR="00E33435" w:rsidRPr="00E33435">
        <w:rPr>
          <w:rFonts w:asciiTheme="minorHAnsi" w:hAnsiTheme="minorHAnsi" w:cstheme="minorHAnsi"/>
          <w:bCs/>
        </w:rPr>
        <w:t xml:space="preserve">; Defra, </w:t>
      </w:r>
      <w:r w:rsidR="00E33435" w:rsidRPr="00E33435">
        <w:rPr>
          <w:rFonts w:asciiTheme="minorHAnsi" w:hAnsiTheme="minorHAnsi" w:cstheme="minorHAnsi"/>
          <w:bCs/>
          <w:i/>
          <w:iCs/>
        </w:rPr>
        <w:t>Agriculture in the United Kingdom, 2024</w:t>
      </w:r>
      <w:r w:rsidR="00E33435" w:rsidRPr="00E33435">
        <w:rPr>
          <w:rFonts w:asciiTheme="minorHAnsi" w:hAnsiTheme="minorHAnsi" w:cstheme="minorHAnsi"/>
          <w:bCs/>
        </w:rPr>
        <w:t>)</w:t>
      </w:r>
      <w:r w:rsidRPr="00B5681D">
        <w:rPr>
          <w:rFonts w:asciiTheme="minorHAnsi" w:hAnsiTheme="minorHAnsi" w:cstheme="minorHAnsi"/>
          <w:bCs/>
        </w:rPr>
        <w:t xml:space="preserve">. Most households shop at supermarkets and cook at home, </w:t>
      </w:r>
      <w:r>
        <w:rPr>
          <w:rFonts w:asciiTheme="minorHAnsi" w:hAnsiTheme="minorHAnsi" w:cstheme="minorHAnsi"/>
          <w:bCs/>
        </w:rPr>
        <w:t xml:space="preserve">plugging into </w:t>
      </w:r>
      <w:r w:rsidRPr="006B669A">
        <w:rPr>
          <w:rFonts w:asciiTheme="minorHAnsi" w:hAnsiTheme="minorHAnsi" w:cstheme="minorHAnsi"/>
          <w:bCs/>
        </w:rPr>
        <w:t xml:space="preserve">robust social safety nets, including universal healthcare (NHS), free public education, near-universal access to electricity and internet, and a strong tradition of community support </w:t>
      </w:r>
      <w:r w:rsidR="00E33435" w:rsidRPr="00E33435">
        <w:rPr>
          <w:rFonts w:asciiTheme="minorHAnsi" w:hAnsiTheme="minorHAnsi" w:cstheme="minorHAnsi"/>
          <w:bCs/>
        </w:rPr>
        <w:t xml:space="preserve">(Defra, </w:t>
      </w:r>
      <w:r w:rsidR="00E33435" w:rsidRPr="00E33435">
        <w:rPr>
          <w:rFonts w:asciiTheme="minorHAnsi" w:hAnsiTheme="minorHAnsi" w:cstheme="minorHAnsi"/>
          <w:bCs/>
          <w:i/>
          <w:iCs/>
        </w:rPr>
        <w:t>Family Food FYE 2023</w:t>
      </w:r>
      <w:r w:rsidR="00E33435" w:rsidRPr="00E33435">
        <w:rPr>
          <w:rFonts w:asciiTheme="minorHAnsi" w:hAnsiTheme="minorHAnsi" w:cstheme="minorHAnsi"/>
          <w:bCs/>
        </w:rPr>
        <w:t xml:space="preserve">; House of Commons Library, </w:t>
      </w:r>
      <w:r w:rsidR="00E33435" w:rsidRPr="00E33435">
        <w:rPr>
          <w:rFonts w:asciiTheme="minorHAnsi" w:hAnsiTheme="minorHAnsi" w:cstheme="minorHAnsi"/>
          <w:bCs/>
          <w:i/>
          <w:iCs/>
        </w:rPr>
        <w:t>Households off the Gas Grid</w:t>
      </w:r>
      <w:r w:rsidR="00E33435" w:rsidRPr="00E33435">
        <w:rPr>
          <w:rFonts w:asciiTheme="minorHAnsi" w:hAnsiTheme="minorHAnsi" w:cstheme="minorHAnsi"/>
          <w:bCs/>
        </w:rPr>
        <w:t xml:space="preserve">; ONS, </w:t>
      </w:r>
      <w:r w:rsidR="00E33435" w:rsidRPr="00E33435">
        <w:rPr>
          <w:rFonts w:asciiTheme="minorHAnsi" w:hAnsiTheme="minorHAnsi" w:cstheme="minorHAnsi"/>
          <w:bCs/>
          <w:i/>
          <w:iCs/>
        </w:rPr>
        <w:t>Living Standards</w:t>
      </w:r>
      <w:r w:rsidR="00E33435" w:rsidRPr="00E33435">
        <w:rPr>
          <w:rFonts w:asciiTheme="minorHAnsi" w:hAnsiTheme="minorHAnsi" w:cstheme="minorHAnsi"/>
          <w:bCs/>
        </w:rPr>
        <w:t>)</w:t>
      </w:r>
      <w:r w:rsidRPr="006B669A">
        <w:rPr>
          <w:rFonts w:asciiTheme="minorHAnsi" w:hAnsiTheme="minorHAnsi" w:cstheme="minorHAnsi"/>
          <w:bCs/>
        </w:rPr>
        <w:t>.</w:t>
      </w:r>
      <w:r>
        <w:rPr>
          <w:rFonts w:asciiTheme="minorHAnsi" w:hAnsiTheme="minorHAnsi" w:cstheme="minorHAnsi"/>
          <w:bCs/>
        </w:rPr>
        <w:t xml:space="preserve"> </w:t>
      </w:r>
      <w:r w:rsidR="0051391C">
        <w:rPr>
          <w:rFonts w:asciiTheme="minorHAnsi" w:hAnsiTheme="minorHAnsi" w:cstheme="minorHAnsi"/>
          <w:bCs/>
        </w:rPr>
        <w:t>However, recent years</w:t>
      </w:r>
      <w:r w:rsidR="0051391C" w:rsidRPr="0051391C">
        <w:rPr>
          <w:rFonts w:asciiTheme="minorHAnsi" w:hAnsiTheme="minorHAnsi" w:cstheme="minorHAnsi"/>
          <w:bCs/>
        </w:rPr>
        <w:t xml:space="preserve"> </w:t>
      </w:r>
      <w:r w:rsidR="0051391C" w:rsidRPr="00B5681D">
        <w:rPr>
          <w:rFonts w:asciiTheme="minorHAnsi" w:hAnsiTheme="minorHAnsi" w:cstheme="minorHAnsi"/>
          <w:bCs/>
        </w:rPr>
        <w:t>have exposed gaps in these protections</w:t>
      </w:r>
      <w:r w:rsidR="0051391C" w:rsidRPr="006B669A">
        <w:rPr>
          <w:rFonts w:asciiTheme="minorHAnsi" w:hAnsiTheme="minorHAnsi" w:cstheme="minorHAnsi"/>
          <w:bCs/>
        </w:rPr>
        <w:t>.</w:t>
      </w:r>
    </w:p>
    <w:p w14:paraId="552C78A9" w14:textId="77777777" w:rsidR="0051391C" w:rsidRDefault="0051391C" w:rsidP="00B5681D">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p>
    <w:p w14:paraId="22C51C80" w14:textId="1E3B4FE3" w:rsidR="006B669A" w:rsidRPr="006B669A" w:rsidRDefault="006B669A" w:rsidP="006B669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6B669A">
        <w:rPr>
          <w:rFonts w:asciiTheme="minorHAnsi" w:hAnsiTheme="minorHAnsi" w:cstheme="minorHAnsi"/>
          <w:bCs/>
        </w:rPr>
        <w:t xml:space="preserve">Over the past decade, the UK has faced multiple macroeconomic shocks, including Brexit, the COVID-19 pandemic, and the war in Ukraine, which </w:t>
      </w:r>
      <w:r w:rsidR="0051391C" w:rsidRPr="0051391C">
        <w:rPr>
          <w:rFonts w:asciiTheme="minorHAnsi" w:hAnsiTheme="minorHAnsi" w:cstheme="minorHAnsi"/>
          <w:bCs/>
        </w:rPr>
        <w:t>slowed investment and lifted in-country refugee costs, fueling inflation and growing the fiscal deficit faster than</w:t>
      </w:r>
      <w:r w:rsidR="00E33435">
        <w:rPr>
          <w:rFonts w:asciiTheme="minorHAnsi" w:hAnsiTheme="minorHAnsi" w:cstheme="minorHAnsi"/>
          <w:bCs/>
        </w:rPr>
        <w:t xml:space="preserve"> GNI</w:t>
      </w:r>
      <w:r w:rsidR="0051391C" w:rsidRPr="0051391C">
        <w:rPr>
          <w:rFonts w:asciiTheme="minorHAnsi" w:hAnsiTheme="minorHAnsi" w:cstheme="minorHAnsi"/>
          <w:bCs/>
        </w:rPr>
        <w:t xml:space="preserve"> </w:t>
      </w:r>
      <w:r w:rsidR="001717E6" w:rsidRPr="001717E6">
        <w:rPr>
          <w:rFonts w:asciiTheme="minorHAnsi" w:hAnsiTheme="minorHAnsi" w:cstheme="minorHAnsi"/>
          <w:bCs/>
        </w:rPr>
        <w:t xml:space="preserve">(Institute for Government; OBR; ONS, </w:t>
      </w:r>
      <w:r w:rsidR="001717E6" w:rsidRPr="001717E6">
        <w:rPr>
          <w:rFonts w:asciiTheme="minorHAnsi" w:hAnsiTheme="minorHAnsi" w:cstheme="minorHAnsi"/>
          <w:bCs/>
          <w:i/>
          <w:iCs/>
        </w:rPr>
        <w:t>Consumer Price Inflation</w:t>
      </w:r>
      <w:r w:rsidR="001717E6" w:rsidRPr="001717E6">
        <w:rPr>
          <w:rFonts w:asciiTheme="minorHAnsi" w:hAnsiTheme="minorHAnsi" w:cstheme="minorHAnsi"/>
          <w:bCs/>
        </w:rPr>
        <w:t>)</w:t>
      </w:r>
      <w:r w:rsidR="0051391C" w:rsidRPr="0051391C">
        <w:rPr>
          <w:rFonts w:asciiTheme="minorHAnsi" w:hAnsiTheme="minorHAnsi" w:cstheme="minorHAnsi"/>
          <w:bCs/>
        </w:rPr>
        <w:t>.</w:t>
      </w:r>
      <w:r w:rsidR="0051391C">
        <w:rPr>
          <w:rFonts w:asciiTheme="minorHAnsi" w:hAnsiTheme="minorHAnsi" w:cstheme="minorHAnsi"/>
          <w:bCs/>
        </w:rPr>
        <w:t xml:space="preserve"> </w:t>
      </w:r>
      <w:r w:rsidRPr="006B669A">
        <w:rPr>
          <w:rFonts w:asciiTheme="minorHAnsi" w:hAnsiTheme="minorHAnsi" w:cstheme="minorHAnsi"/>
          <w:bCs/>
        </w:rPr>
        <w:t>The cumulative effect is that, while the UK appears wealthier on paper as Gross National Income (GNI) has grown, its ability to maintain robust safety nets for its own people has weakened because the fiscal deficit has grown even faster (Office for Budget Responsibility).</w:t>
      </w:r>
    </w:p>
    <w:p w14:paraId="2F221F1A" w14:textId="77777777" w:rsidR="0051391C" w:rsidRDefault="0051391C" w:rsidP="00900DA2">
      <w:pPr>
        <w:pBdr>
          <w:top w:val="nil"/>
          <w:left w:val="nil"/>
          <w:bottom w:val="nil"/>
          <w:right w:val="nil"/>
          <w:between w:val="nil"/>
        </w:pBdr>
        <w:tabs>
          <w:tab w:val="center" w:pos="4680"/>
          <w:tab w:val="right" w:pos="9360"/>
        </w:tabs>
        <w:spacing w:after="0" w:line="240" w:lineRule="auto"/>
        <w:rPr>
          <w:rFonts w:asciiTheme="minorHAnsi" w:hAnsiTheme="minorHAnsi" w:cstheme="minorHAnsi"/>
          <w:b/>
        </w:rPr>
      </w:pPr>
    </w:p>
    <w:p w14:paraId="60805EFD" w14:textId="037BFD59" w:rsidR="00BB603A" w:rsidRDefault="00BB603A" w:rsidP="00EC5927">
      <w:pPr>
        <w:pBdr>
          <w:top w:val="nil"/>
          <w:left w:val="nil"/>
          <w:bottom w:val="nil"/>
          <w:right w:val="nil"/>
          <w:between w:val="nil"/>
        </w:pBdr>
        <w:tabs>
          <w:tab w:val="center" w:pos="4680"/>
          <w:tab w:val="right" w:pos="9360"/>
        </w:tabs>
        <w:spacing w:after="0" w:line="240" w:lineRule="auto"/>
      </w:pPr>
      <w:r w:rsidRPr="00BB603A">
        <w:t xml:space="preserve">The strain on the national budget has translated into strain on family budgets. Take the Johnsons in Leeds, a middle-income family of four who until recently felt financially comfortable. Now higher supermarket prices and rent have forced cutbacks. Fresh fruit and fish have disappeared, replaced by bulk pasta and tinned beans. Their children rely on free school meals, and Mr. Johnson skips lunch so there is more for dinner. Birthdays mean store-brand cake, and after-school clubs are no longer affordable. Rising rent and bus fares leave little margin, forcing the family to choose between heating their flat and traveling for cheaper groceries (ONS, </w:t>
      </w:r>
      <w:r w:rsidRPr="00BB603A">
        <w:rPr>
          <w:i/>
          <w:iCs/>
        </w:rPr>
        <w:t>Living Standards</w:t>
      </w:r>
      <w:r w:rsidRPr="00BB603A">
        <w:t xml:space="preserve">; Institute for Government). “We used to help out at the local food drive,” Mrs. Johnson says, “but now we worry we might need to go ourselves.” Even apples and chicken are now “treats,” and Sunday roasts have been reduced to little more than potatoes and gravy (Defra, </w:t>
      </w:r>
      <w:r w:rsidRPr="00BB603A">
        <w:rPr>
          <w:i/>
          <w:iCs/>
        </w:rPr>
        <w:t>Family Food FYE 2023</w:t>
      </w:r>
      <w:r w:rsidRPr="00BB603A">
        <w:t>). Like many others, the Johnsons face constant anxiety about food and dread winter, when heating costs bring even tougher choices.</w:t>
      </w:r>
    </w:p>
    <w:p w14:paraId="392AFE70" w14:textId="52D67993" w:rsidR="0051391C" w:rsidRDefault="0051391C" w:rsidP="0051391C">
      <w:pPr>
        <w:pBdr>
          <w:top w:val="nil"/>
          <w:left w:val="nil"/>
          <w:bottom w:val="nil"/>
          <w:right w:val="nil"/>
          <w:between w:val="nil"/>
        </w:pBdr>
        <w:tabs>
          <w:tab w:val="center" w:pos="4680"/>
          <w:tab w:val="right" w:pos="9360"/>
        </w:tabs>
        <w:spacing w:after="0" w:line="240" w:lineRule="auto"/>
        <w:rPr>
          <w:rFonts w:asciiTheme="minorHAnsi" w:hAnsiTheme="minorHAnsi" w:cstheme="minorHAnsi"/>
          <w:b/>
        </w:rPr>
      </w:pPr>
      <w:r w:rsidRPr="0056621C">
        <w:rPr>
          <w:rFonts w:asciiTheme="minorHAnsi" w:hAnsiTheme="minorHAnsi" w:cstheme="minorHAnsi"/>
          <w:b/>
        </w:rPr>
        <w:lastRenderedPageBreak/>
        <w:t>Challenge and Impact</w:t>
      </w:r>
    </w:p>
    <w:p w14:paraId="7B568FE3" w14:textId="77777777" w:rsidR="001831EF" w:rsidRDefault="001831EF" w:rsidP="001831EF">
      <w:pPr>
        <w:pBdr>
          <w:top w:val="nil"/>
          <w:left w:val="nil"/>
          <w:bottom w:val="nil"/>
          <w:right w:val="nil"/>
          <w:between w:val="nil"/>
        </w:pBdr>
        <w:tabs>
          <w:tab w:val="center" w:pos="4680"/>
          <w:tab w:val="right" w:pos="9360"/>
        </w:tabs>
        <w:spacing w:after="0" w:line="240" w:lineRule="auto"/>
        <w:rPr>
          <w:rFonts w:asciiTheme="minorHAnsi" w:hAnsiTheme="minorHAnsi" w:cstheme="minorHAnsi"/>
        </w:rPr>
      </w:pPr>
      <w:r w:rsidRPr="001831EF">
        <w:rPr>
          <w:rFonts w:asciiTheme="minorHAnsi" w:hAnsiTheme="minorHAnsi" w:cstheme="minorHAnsi"/>
        </w:rPr>
        <w:t xml:space="preserve">The Johnsons’ situation reflects a broader trend. From 2019 to 2023, the number of food-insecure people rose from 4.7 million to 7.2 million, or about 11% of the population, while food bank use more than doubled to 3.1 million parcels (Food Foundation; Trussell Trust). Food insecurity is no longer confined to those below the poverty line; it now affects families once considered financially secure (Food Foundation). Stagnant benefits, steep inflation, and rising bills drive families to choose between heating or eating (ONS, </w:t>
      </w:r>
      <w:r w:rsidRPr="001831EF">
        <w:rPr>
          <w:rFonts w:asciiTheme="minorHAnsi" w:hAnsiTheme="minorHAnsi" w:cstheme="minorHAnsi"/>
          <w:i/>
          <w:iCs/>
        </w:rPr>
        <w:t>Consumer Price Inflation</w:t>
      </w:r>
      <w:r w:rsidRPr="001831EF">
        <w:rPr>
          <w:rFonts w:asciiTheme="minorHAnsi" w:hAnsiTheme="minorHAnsi" w:cstheme="minorHAnsi"/>
        </w:rPr>
        <w:t xml:space="preserve">; Institute for Government; House of Commons Library, </w:t>
      </w:r>
      <w:r w:rsidRPr="001831EF">
        <w:rPr>
          <w:rFonts w:asciiTheme="minorHAnsi" w:hAnsiTheme="minorHAnsi" w:cstheme="minorHAnsi"/>
          <w:i/>
          <w:iCs/>
        </w:rPr>
        <w:t>Statistics on International Development</w:t>
      </w:r>
      <w:r w:rsidRPr="001831EF">
        <w:rPr>
          <w:rFonts w:asciiTheme="minorHAnsi" w:hAnsiTheme="minorHAnsi" w:cstheme="minorHAnsi"/>
        </w:rPr>
        <w:t>).</w:t>
      </w:r>
    </w:p>
    <w:p w14:paraId="28663301" w14:textId="77777777" w:rsidR="001831EF" w:rsidRPr="001831EF" w:rsidRDefault="001831EF" w:rsidP="001831EF">
      <w:pPr>
        <w:pBdr>
          <w:top w:val="nil"/>
          <w:left w:val="nil"/>
          <w:bottom w:val="nil"/>
          <w:right w:val="nil"/>
          <w:between w:val="nil"/>
        </w:pBdr>
        <w:tabs>
          <w:tab w:val="center" w:pos="4680"/>
          <w:tab w:val="right" w:pos="9360"/>
        </w:tabs>
        <w:spacing w:after="0" w:line="240" w:lineRule="auto"/>
        <w:rPr>
          <w:rFonts w:asciiTheme="minorHAnsi" w:hAnsiTheme="minorHAnsi" w:cstheme="minorHAnsi"/>
        </w:rPr>
      </w:pPr>
    </w:p>
    <w:p w14:paraId="42DAEB27" w14:textId="77777777" w:rsidR="001831EF" w:rsidRDefault="001831EF" w:rsidP="001831EF">
      <w:pPr>
        <w:pBdr>
          <w:top w:val="nil"/>
          <w:left w:val="nil"/>
          <w:bottom w:val="nil"/>
          <w:right w:val="nil"/>
          <w:between w:val="nil"/>
        </w:pBdr>
        <w:tabs>
          <w:tab w:val="center" w:pos="4680"/>
          <w:tab w:val="right" w:pos="9360"/>
        </w:tabs>
        <w:spacing w:after="0" w:line="240" w:lineRule="auto"/>
        <w:rPr>
          <w:rFonts w:asciiTheme="minorHAnsi" w:hAnsiTheme="minorHAnsi" w:cstheme="minorHAnsi"/>
        </w:rPr>
      </w:pPr>
      <w:r w:rsidRPr="001831EF">
        <w:rPr>
          <w:rFonts w:asciiTheme="minorHAnsi" w:hAnsiTheme="minorHAnsi" w:cstheme="minorHAnsi"/>
        </w:rPr>
        <w:t xml:space="preserve">The burden of food insecurity falls unevenly across the UK. Vulnerable groups facing disproportionately high rates include children (nearly 17% live in food-insecure households), ethnic minorities (particularly Black and South Asian households), and disabled families (Food Foundation; Joseph Rowntree Foundation). For example, Black households are twice as likely as White households to visit food banks, and families with a disabled member face food insecurity rates 50% higher than the national average (Joseph Rowntree Foundation). Geography also contributes: rural families often face long, costly trips for groceries, while urban low-income households struggle with high rents and living costs, leading many to rely on free school meals and food banks (House of Commons Library; Defra, </w:t>
      </w:r>
      <w:r w:rsidRPr="001831EF">
        <w:rPr>
          <w:rFonts w:asciiTheme="minorHAnsi" w:hAnsiTheme="minorHAnsi" w:cstheme="minorHAnsi"/>
          <w:i/>
          <w:iCs/>
        </w:rPr>
        <w:t>Food Statistics Pocketbook</w:t>
      </w:r>
      <w:r w:rsidRPr="001831EF">
        <w:rPr>
          <w:rFonts w:asciiTheme="minorHAnsi" w:hAnsiTheme="minorHAnsi" w:cstheme="minorHAnsi"/>
        </w:rPr>
        <w:t>; Trussell Trust).</w:t>
      </w:r>
    </w:p>
    <w:p w14:paraId="1068C47A" w14:textId="77777777" w:rsidR="001831EF" w:rsidRPr="001831EF" w:rsidRDefault="001831EF" w:rsidP="001831EF">
      <w:pPr>
        <w:pBdr>
          <w:top w:val="nil"/>
          <w:left w:val="nil"/>
          <w:bottom w:val="nil"/>
          <w:right w:val="nil"/>
          <w:between w:val="nil"/>
        </w:pBdr>
        <w:tabs>
          <w:tab w:val="center" w:pos="4680"/>
          <w:tab w:val="right" w:pos="9360"/>
        </w:tabs>
        <w:spacing w:after="0" w:line="240" w:lineRule="auto"/>
        <w:rPr>
          <w:rFonts w:asciiTheme="minorHAnsi" w:hAnsiTheme="minorHAnsi" w:cstheme="minorHAnsi"/>
        </w:rPr>
      </w:pPr>
    </w:p>
    <w:p w14:paraId="637C2263" w14:textId="77777777" w:rsidR="001831EF" w:rsidRDefault="001831EF" w:rsidP="001831EF">
      <w:pPr>
        <w:pBdr>
          <w:top w:val="nil"/>
          <w:left w:val="nil"/>
          <w:bottom w:val="nil"/>
          <w:right w:val="nil"/>
          <w:between w:val="nil"/>
        </w:pBdr>
        <w:tabs>
          <w:tab w:val="center" w:pos="4680"/>
          <w:tab w:val="right" w:pos="9360"/>
        </w:tabs>
        <w:spacing w:after="0" w:line="240" w:lineRule="auto"/>
        <w:rPr>
          <w:rFonts w:asciiTheme="minorHAnsi" w:hAnsiTheme="minorHAnsi" w:cstheme="minorHAnsi"/>
        </w:rPr>
      </w:pPr>
      <w:r w:rsidRPr="001831EF">
        <w:rPr>
          <w:rFonts w:asciiTheme="minorHAnsi" w:hAnsiTheme="minorHAnsi" w:cstheme="minorHAnsi"/>
          <w:b/>
          <w:bCs/>
        </w:rPr>
        <w:t>Policy Shifts.</w:t>
      </w:r>
      <w:r w:rsidRPr="001831EF">
        <w:rPr>
          <w:rFonts w:asciiTheme="minorHAnsi" w:hAnsiTheme="minorHAnsi" w:cstheme="minorHAnsi"/>
        </w:rPr>
        <w:t xml:space="preserve"> In response to a widening fiscal deficit and rising food insecurity, the UK reduced ODA from 0.7% to 0.5% of GNI between 2021 and 2023, cutting £13.27 billion (Office for Budget Responsibility; Foreign, Commonwealth &amp; Development Office). At the same time, In-Donor Refugee Costs (IDRC) rose from 3% to 28%, or £5.38 billion, as pressures on refugee support mounted (Foreign, Commonwealth &amp; Development Office). Ongoing fiscal strain has fueled calls to reduce ODA further to 0.3% of GNI (Food Foundation; Institute for Government).</w:t>
      </w:r>
    </w:p>
    <w:p w14:paraId="0902CFFD" w14:textId="77777777" w:rsidR="001831EF" w:rsidRPr="001831EF" w:rsidRDefault="001831EF" w:rsidP="001831EF">
      <w:pPr>
        <w:pBdr>
          <w:top w:val="nil"/>
          <w:left w:val="nil"/>
          <w:bottom w:val="nil"/>
          <w:right w:val="nil"/>
          <w:between w:val="nil"/>
        </w:pBdr>
        <w:tabs>
          <w:tab w:val="center" w:pos="4680"/>
          <w:tab w:val="right" w:pos="9360"/>
        </w:tabs>
        <w:spacing w:after="0" w:line="240" w:lineRule="auto"/>
        <w:rPr>
          <w:rFonts w:asciiTheme="minorHAnsi" w:hAnsiTheme="minorHAnsi" w:cstheme="minorHAnsi"/>
        </w:rPr>
      </w:pPr>
    </w:p>
    <w:p w14:paraId="2C402D65" w14:textId="77777777" w:rsidR="001831EF" w:rsidRDefault="001831EF" w:rsidP="001831EF">
      <w:pPr>
        <w:pBdr>
          <w:top w:val="nil"/>
          <w:left w:val="nil"/>
          <w:bottom w:val="nil"/>
          <w:right w:val="nil"/>
          <w:between w:val="nil"/>
        </w:pBdr>
        <w:tabs>
          <w:tab w:val="center" w:pos="4680"/>
          <w:tab w:val="right" w:pos="9360"/>
        </w:tabs>
        <w:spacing w:after="0" w:line="240" w:lineRule="auto"/>
        <w:rPr>
          <w:rFonts w:asciiTheme="minorHAnsi" w:hAnsiTheme="minorHAnsi" w:cstheme="minorHAnsi"/>
        </w:rPr>
      </w:pPr>
      <w:r w:rsidRPr="001831EF">
        <w:rPr>
          <w:rFonts w:asciiTheme="minorHAnsi" w:hAnsiTheme="minorHAnsi" w:cstheme="minorHAnsi"/>
        </w:rPr>
        <w:t>These policy shifts have sparked debate: Can reducing and reallocating foreign aid meaningfully ease UK food insecurity? Financially, reducing ODA does free up funds, since it forms about 1% of government spending (House of Commons Library; Institute for Government; Foreign, Commonwealth &amp; Development Office; Overseas Development Institute). In 2023 the UK allocated £15.3 billion to ODA, or 0.58% of GNI (“Statistics on International Development: Final UK ODA Spend 2023”). With about 10% of the UK’s 26 million households food insecure, the budget equals roughly £5,800 per household. Even partial reallocation could expand free school meals and food vouchers at scale (House of Commons Library).</w:t>
      </w:r>
    </w:p>
    <w:p w14:paraId="1575876B" w14:textId="77777777" w:rsidR="001831EF" w:rsidRPr="001831EF" w:rsidRDefault="001831EF" w:rsidP="001831EF">
      <w:pPr>
        <w:pBdr>
          <w:top w:val="nil"/>
          <w:left w:val="nil"/>
          <w:bottom w:val="nil"/>
          <w:right w:val="nil"/>
          <w:between w:val="nil"/>
        </w:pBdr>
        <w:tabs>
          <w:tab w:val="center" w:pos="4680"/>
          <w:tab w:val="right" w:pos="9360"/>
        </w:tabs>
        <w:spacing w:after="0" w:line="240" w:lineRule="auto"/>
        <w:rPr>
          <w:rFonts w:asciiTheme="minorHAnsi" w:hAnsiTheme="minorHAnsi" w:cstheme="minorHAnsi"/>
        </w:rPr>
      </w:pPr>
    </w:p>
    <w:p w14:paraId="351A5814" w14:textId="77777777" w:rsidR="001831EF" w:rsidRDefault="001831EF" w:rsidP="001831EF">
      <w:pPr>
        <w:pBdr>
          <w:top w:val="nil"/>
          <w:left w:val="nil"/>
          <w:bottom w:val="nil"/>
          <w:right w:val="nil"/>
          <w:between w:val="nil"/>
        </w:pBdr>
        <w:tabs>
          <w:tab w:val="center" w:pos="4680"/>
          <w:tab w:val="right" w:pos="9360"/>
        </w:tabs>
        <w:spacing w:after="0" w:line="240" w:lineRule="auto"/>
        <w:rPr>
          <w:rFonts w:asciiTheme="minorHAnsi" w:hAnsiTheme="minorHAnsi" w:cstheme="minorHAnsi"/>
        </w:rPr>
      </w:pPr>
      <w:r w:rsidRPr="001831EF">
        <w:rPr>
          <w:rFonts w:asciiTheme="minorHAnsi" w:hAnsiTheme="minorHAnsi" w:cstheme="minorHAnsi"/>
        </w:rPr>
        <w:t>However, funding alone cannot solve the UK’s food insecurity crisis. While money offers short-term relief, food banks and emergency measures are temporary, not structural, fixes (Food Foundation; Trussell Trust). Long-term progress depends on tackling underlying drivers: stagnant incomes, gaps in welfare, high living costs, and limited employment security (Office for Budget Responsibility; Institute for Government). Further, any cut to overseas aid carries trade-offs, including reduced life-saving support for the world’s most vulnerable people and risks to the UK’s diplomatic reputation and influence (Foreign, Commonwealth &amp; Development Office; Overseas Development Institute). Effective responses must therefore balance urgent domestic needs with global responsibility.</w:t>
      </w:r>
    </w:p>
    <w:p w14:paraId="0FEE6CCD" w14:textId="77777777" w:rsidR="001831EF" w:rsidRPr="001831EF" w:rsidRDefault="001831EF" w:rsidP="001831EF">
      <w:pPr>
        <w:pBdr>
          <w:top w:val="nil"/>
          <w:left w:val="nil"/>
          <w:bottom w:val="nil"/>
          <w:right w:val="nil"/>
          <w:between w:val="nil"/>
        </w:pBdr>
        <w:tabs>
          <w:tab w:val="center" w:pos="4680"/>
          <w:tab w:val="right" w:pos="9360"/>
        </w:tabs>
        <w:spacing w:after="0" w:line="240" w:lineRule="auto"/>
        <w:rPr>
          <w:rFonts w:asciiTheme="minorHAnsi" w:hAnsiTheme="minorHAnsi" w:cstheme="minorHAnsi"/>
        </w:rPr>
      </w:pPr>
    </w:p>
    <w:p w14:paraId="4EB1CFAE" w14:textId="77777777" w:rsidR="001831EF" w:rsidRPr="001831EF" w:rsidRDefault="001831EF" w:rsidP="001831EF">
      <w:pPr>
        <w:pBdr>
          <w:top w:val="nil"/>
          <w:left w:val="nil"/>
          <w:bottom w:val="nil"/>
          <w:right w:val="nil"/>
          <w:between w:val="nil"/>
        </w:pBdr>
        <w:tabs>
          <w:tab w:val="center" w:pos="4680"/>
          <w:tab w:val="right" w:pos="9360"/>
        </w:tabs>
        <w:spacing w:after="0" w:line="240" w:lineRule="auto"/>
        <w:rPr>
          <w:rFonts w:asciiTheme="minorHAnsi" w:hAnsiTheme="minorHAnsi" w:cstheme="minorHAnsi"/>
        </w:rPr>
      </w:pPr>
      <w:r w:rsidRPr="001831EF">
        <w:rPr>
          <w:rFonts w:asciiTheme="minorHAnsi" w:hAnsiTheme="minorHAnsi" w:cstheme="minorHAnsi"/>
          <w:b/>
          <w:bCs/>
        </w:rPr>
        <w:t>Global Precedents.</w:t>
      </w:r>
      <w:r w:rsidRPr="001831EF">
        <w:rPr>
          <w:rFonts w:asciiTheme="minorHAnsi" w:hAnsiTheme="minorHAnsi" w:cstheme="minorHAnsi"/>
        </w:rPr>
        <w:t xml:space="preserve"> Several donor nations have redirected aid during domestic crises, showing there is no universal blueprint. To avoid uneven burdens or unrealistic expectations, aid policy must remain flexible and context-specific rather than dictated by rigid targets (OECD, </w:t>
      </w:r>
      <w:r w:rsidRPr="001831EF">
        <w:rPr>
          <w:rFonts w:asciiTheme="minorHAnsi" w:hAnsiTheme="minorHAnsi" w:cstheme="minorHAnsi"/>
          <w:i/>
          <w:iCs/>
        </w:rPr>
        <w:t>Development Co-operation Report 2017</w:t>
      </w:r>
      <w:r w:rsidRPr="001831EF">
        <w:rPr>
          <w:rFonts w:asciiTheme="minorHAnsi" w:hAnsiTheme="minorHAnsi" w:cstheme="minorHAnsi"/>
        </w:rPr>
        <w:t xml:space="preserve">; OECD, </w:t>
      </w:r>
      <w:r w:rsidRPr="001831EF">
        <w:rPr>
          <w:rFonts w:asciiTheme="minorHAnsi" w:hAnsiTheme="minorHAnsi" w:cstheme="minorHAnsi"/>
          <w:i/>
          <w:iCs/>
        </w:rPr>
        <w:t>Development Co-operation Profiles 2023</w:t>
      </w:r>
      <w:r w:rsidRPr="001831EF">
        <w:rPr>
          <w:rFonts w:asciiTheme="minorHAnsi" w:hAnsiTheme="minorHAnsi" w:cstheme="minorHAnsi"/>
        </w:rPr>
        <w:t>; House of Lords Library).</w:t>
      </w:r>
    </w:p>
    <w:p w14:paraId="6DC84A5A" w14:textId="5FEF550F" w:rsidR="00E263F8" w:rsidRPr="00E263F8" w:rsidRDefault="00E263F8" w:rsidP="00652641">
      <w:pPr>
        <w:pBdr>
          <w:top w:val="nil"/>
          <w:left w:val="nil"/>
          <w:bottom w:val="nil"/>
          <w:right w:val="nil"/>
          <w:between w:val="nil"/>
        </w:pBdr>
        <w:tabs>
          <w:tab w:val="center" w:pos="4680"/>
          <w:tab w:val="right" w:pos="9360"/>
        </w:tabs>
        <w:spacing w:after="0" w:line="240" w:lineRule="auto"/>
        <w:rPr>
          <w:rFonts w:asciiTheme="minorHAnsi" w:hAnsiTheme="minorHAnsi" w:cstheme="minorHAnsi"/>
          <w:b/>
          <w:bCs/>
        </w:rPr>
      </w:pPr>
      <w:r w:rsidRPr="00E263F8">
        <w:rPr>
          <w:rFonts w:asciiTheme="minorHAnsi" w:hAnsiTheme="minorHAnsi" w:cstheme="minorHAnsi"/>
          <w:b/>
          <w:bCs/>
        </w:rPr>
        <w:lastRenderedPageBreak/>
        <w:t>Donor Nations and Foreign Aid Adjustments during Domestic Crises</w:t>
      </w:r>
    </w:p>
    <w:tbl>
      <w:tblPr>
        <w:tblStyle w:val="TableGridLight"/>
        <w:tblW w:w="0" w:type="auto"/>
        <w:tblLook w:val="04A0" w:firstRow="1" w:lastRow="0" w:firstColumn="1" w:lastColumn="0" w:noHBand="0" w:noVBand="1"/>
      </w:tblPr>
      <w:tblGrid>
        <w:gridCol w:w="1368"/>
        <w:gridCol w:w="1783"/>
        <w:gridCol w:w="4088"/>
        <w:gridCol w:w="2111"/>
      </w:tblGrid>
      <w:tr w:rsidR="00E263F8" w:rsidRPr="00E263F8" w14:paraId="65A04FC1" w14:textId="77777777" w:rsidTr="00E263F8">
        <w:tc>
          <w:tcPr>
            <w:tcW w:w="0" w:type="auto"/>
            <w:hideMark/>
          </w:tcPr>
          <w:p w14:paraId="43820106" w14:textId="77777777" w:rsidR="00E263F8" w:rsidRPr="00E263F8" w:rsidRDefault="00E263F8" w:rsidP="00E263F8">
            <w:pPr>
              <w:pBdr>
                <w:top w:val="nil"/>
                <w:left w:val="nil"/>
                <w:bottom w:val="nil"/>
                <w:right w:val="nil"/>
                <w:between w:val="nil"/>
              </w:pBdr>
              <w:tabs>
                <w:tab w:val="center" w:pos="4680"/>
                <w:tab w:val="right" w:pos="9360"/>
              </w:tabs>
              <w:rPr>
                <w:rFonts w:asciiTheme="minorHAnsi" w:hAnsiTheme="minorHAnsi" w:cstheme="minorHAnsi"/>
                <w:b/>
                <w:bCs/>
              </w:rPr>
            </w:pPr>
            <w:r w:rsidRPr="00E263F8">
              <w:rPr>
                <w:rFonts w:asciiTheme="minorHAnsi" w:hAnsiTheme="minorHAnsi" w:cstheme="minorHAnsi"/>
                <w:b/>
              </w:rPr>
              <w:t>Country</w:t>
            </w:r>
          </w:p>
        </w:tc>
        <w:tc>
          <w:tcPr>
            <w:tcW w:w="0" w:type="auto"/>
            <w:hideMark/>
          </w:tcPr>
          <w:p w14:paraId="6D6E2CFA" w14:textId="77777777" w:rsidR="00E263F8" w:rsidRPr="00E263F8" w:rsidRDefault="00E263F8" w:rsidP="00E263F8">
            <w:pPr>
              <w:pBdr>
                <w:top w:val="nil"/>
                <w:left w:val="nil"/>
                <w:bottom w:val="nil"/>
                <w:right w:val="nil"/>
                <w:between w:val="nil"/>
              </w:pBdr>
              <w:tabs>
                <w:tab w:val="center" w:pos="4680"/>
                <w:tab w:val="right" w:pos="9360"/>
              </w:tabs>
              <w:rPr>
                <w:rFonts w:asciiTheme="minorHAnsi" w:hAnsiTheme="minorHAnsi" w:cstheme="minorHAnsi"/>
                <w:b/>
                <w:bCs/>
              </w:rPr>
            </w:pPr>
            <w:r w:rsidRPr="00E263F8">
              <w:rPr>
                <w:rFonts w:asciiTheme="minorHAnsi" w:hAnsiTheme="minorHAnsi" w:cstheme="minorHAnsi"/>
                <w:b/>
                <w:bCs/>
              </w:rPr>
              <w:t>Crisis/Context</w:t>
            </w:r>
          </w:p>
        </w:tc>
        <w:tc>
          <w:tcPr>
            <w:tcW w:w="0" w:type="auto"/>
            <w:hideMark/>
          </w:tcPr>
          <w:p w14:paraId="36C05EF1" w14:textId="77777777" w:rsidR="00E263F8" w:rsidRPr="00E263F8" w:rsidRDefault="00E263F8" w:rsidP="00E263F8">
            <w:pPr>
              <w:pBdr>
                <w:top w:val="nil"/>
                <w:left w:val="nil"/>
                <w:bottom w:val="nil"/>
                <w:right w:val="nil"/>
                <w:between w:val="nil"/>
              </w:pBdr>
              <w:tabs>
                <w:tab w:val="center" w:pos="4680"/>
                <w:tab w:val="right" w:pos="9360"/>
              </w:tabs>
              <w:rPr>
                <w:rFonts w:asciiTheme="minorHAnsi" w:hAnsiTheme="minorHAnsi" w:cstheme="minorHAnsi"/>
                <w:b/>
                <w:bCs/>
              </w:rPr>
            </w:pPr>
            <w:r w:rsidRPr="00E263F8">
              <w:rPr>
                <w:rFonts w:asciiTheme="minorHAnsi" w:hAnsiTheme="minorHAnsi" w:cstheme="minorHAnsi"/>
                <w:b/>
                <w:bCs/>
              </w:rPr>
              <w:t>Aid Response</w:t>
            </w:r>
          </w:p>
        </w:tc>
        <w:tc>
          <w:tcPr>
            <w:tcW w:w="0" w:type="auto"/>
            <w:hideMark/>
          </w:tcPr>
          <w:p w14:paraId="0D072197" w14:textId="77777777" w:rsidR="00E263F8" w:rsidRPr="00E263F8" w:rsidRDefault="00E263F8" w:rsidP="00E263F8">
            <w:pPr>
              <w:pBdr>
                <w:top w:val="nil"/>
                <w:left w:val="nil"/>
                <w:bottom w:val="nil"/>
                <w:right w:val="nil"/>
                <w:between w:val="nil"/>
              </w:pBdr>
              <w:tabs>
                <w:tab w:val="center" w:pos="4680"/>
                <w:tab w:val="right" w:pos="9360"/>
              </w:tabs>
              <w:rPr>
                <w:rFonts w:asciiTheme="minorHAnsi" w:hAnsiTheme="minorHAnsi" w:cstheme="minorHAnsi"/>
                <w:b/>
                <w:bCs/>
              </w:rPr>
            </w:pPr>
            <w:r w:rsidRPr="00E263F8">
              <w:rPr>
                <w:rFonts w:asciiTheme="minorHAnsi" w:hAnsiTheme="minorHAnsi" w:cstheme="minorHAnsi"/>
                <w:b/>
                <w:bCs/>
              </w:rPr>
              <w:t>Source</w:t>
            </w:r>
          </w:p>
        </w:tc>
      </w:tr>
      <w:tr w:rsidR="00E263F8" w:rsidRPr="00E263F8" w14:paraId="1AE42FAA" w14:textId="77777777" w:rsidTr="00E263F8">
        <w:tc>
          <w:tcPr>
            <w:tcW w:w="0" w:type="auto"/>
            <w:hideMark/>
          </w:tcPr>
          <w:p w14:paraId="52209E44" w14:textId="77777777" w:rsidR="00E263F8" w:rsidRPr="00E263F8" w:rsidRDefault="00E263F8" w:rsidP="00E263F8">
            <w:pPr>
              <w:pBdr>
                <w:top w:val="nil"/>
                <w:left w:val="nil"/>
                <w:bottom w:val="nil"/>
                <w:right w:val="nil"/>
                <w:between w:val="nil"/>
              </w:pBdr>
              <w:tabs>
                <w:tab w:val="center" w:pos="4680"/>
                <w:tab w:val="right" w:pos="9360"/>
              </w:tabs>
              <w:rPr>
                <w:rFonts w:asciiTheme="minorHAnsi" w:hAnsiTheme="minorHAnsi" w:cstheme="minorHAnsi"/>
              </w:rPr>
            </w:pPr>
            <w:r w:rsidRPr="00E263F8">
              <w:rPr>
                <w:rFonts w:asciiTheme="minorHAnsi" w:hAnsiTheme="minorHAnsi" w:cstheme="minorHAnsi"/>
              </w:rPr>
              <w:t>Germany, Greece, Italy</w:t>
            </w:r>
          </w:p>
        </w:tc>
        <w:tc>
          <w:tcPr>
            <w:tcW w:w="0" w:type="auto"/>
            <w:hideMark/>
          </w:tcPr>
          <w:p w14:paraId="486479E8" w14:textId="77777777" w:rsidR="00E263F8" w:rsidRPr="00E263F8" w:rsidRDefault="00E263F8" w:rsidP="00E263F8">
            <w:pPr>
              <w:pBdr>
                <w:top w:val="nil"/>
                <w:left w:val="nil"/>
                <w:bottom w:val="nil"/>
                <w:right w:val="nil"/>
                <w:between w:val="nil"/>
              </w:pBdr>
              <w:tabs>
                <w:tab w:val="center" w:pos="4680"/>
                <w:tab w:val="right" w:pos="9360"/>
              </w:tabs>
              <w:rPr>
                <w:rFonts w:asciiTheme="minorHAnsi" w:hAnsiTheme="minorHAnsi" w:cstheme="minorHAnsi"/>
              </w:rPr>
            </w:pPr>
            <w:r w:rsidRPr="00E263F8">
              <w:rPr>
                <w:rFonts w:asciiTheme="minorHAnsi" w:hAnsiTheme="minorHAnsi" w:cstheme="minorHAnsi"/>
              </w:rPr>
              <w:t>2015–16 migrant crisis</w:t>
            </w:r>
          </w:p>
        </w:tc>
        <w:tc>
          <w:tcPr>
            <w:tcW w:w="0" w:type="auto"/>
            <w:hideMark/>
          </w:tcPr>
          <w:p w14:paraId="51A5A600" w14:textId="78B35714" w:rsidR="00E263F8" w:rsidRPr="00E263F8" w:rsidRDefault="001831EF" w:rsidP="00E263F8">
            <w:pPr>
              <w:pBdr>
                <w:top w:val="nil"/>
                <w:left w:val="nil"/>
                <w:bottom w:val="nil"/>
                <w:right w:val="nil"/>
                <w:between w:val="nil"/>
              </w:pBdr>
              <w:tabs>
                <w:tab w:val="center" w:pos="4680"/>
                <w:tab w:val="right" w:pos="9360"/>
              </w:tabs>
              <w:rPr>
                <w:rFonts w:asciiTheme="minorHAnsi" w:hAnsiTheme="minorHAnsi" w:cstheme="minorHAnsi"/>
              </w:rPr>
            </w:pPr>
            <w:r w:rsidRPr="001831EF">
              <w:rPr>
                <w:rFonts w:asciiTheme="minorHAnsi" w:hAnsiTheme="minorHAnsi" w:cstheme="minorHAnsi"/>
              </w:rPr>
              <w:t xml:space="preserve">Redirected aid budgets to in-country refugee costs, prioritizing </w:t>
            </w:r>
            <w:r w:rsidR="00754D91" w:rsidRPr="001831EF">
              <w:rPr>
                <w:rFonts w:asciiTheme="minorHAnsi" w:hAnsiTheme="minorHAnsi" w:cstheme="minorHAnsi"/>
              </w:rPr>
              <w:t>stability</w:t>
            </w:r>
          </w:p>
        </w:tc>
        <w:tc>
          <w:tcPr>
            <w:tcW w:w="0" w:type="auto"/>
            <w:hideMark/>
          </w:tcPr>
          <w:p w14:paraId="5ADE3D58" w14:textId="55AF4EBE" w:rsidR="00E263F8" w:rsidRPr="00E263F8" w:rsidRDefault="001831EF" w:rsidP="00E263F8">
            <w:pPr>
              <w:pBdr>
                <w:top w:val="nil"/>
                <w:left w:val="nil"/>
                <w:bottom w:val="nil"/>
                <w:right w:val="nil"/>
                <w:between w:val="nil"/>
              </w:pBdr>
              <w:tabs>
                <w:tab w:val="center" w:pos="4680"/>
                <w:tab w:val="right" w:pos="9360"/>
              </w:tabs>
              <w:rPr>
                <w:rFonts w:asciiTheme="minorHAnsi" w:hAnsiTheme="minorHAnsi" w:cstheme="minorHAnsi"/>
              </w:rPr>
            </w:pPr>
            <w:r w:rsidRPr="001831EF">
              <w:rPr>
                <w:rFonts w:asciiTheme="minorHAnsi" w:hAnsiTheme="minorHAnsi" w:cstheme="minorHAnsi"/>
              </w:rPr>
              <w:t xml:space="preserve">OECD, </w:t>
            </w:r>
            <w:r w:rsidRPr="001831EF">
              <w:rPr>
                <w:rFonts w:asciiTheme="minorHAnsi" w:hAnsiTheme="minorHAnsi" w:cstheme="minorHAnsi"/>
                <w:i/>
                <w:iCs/>
              </w:rPr>
              <w:t>Development Co-operation Profiles 2023</w:t>
            </w:r>
          </w:p>
        </w:tc>
      </w:tr>
      <w:tr w:rsidR="00E263F8" w:rsidRPr="00E263F8" w14:paraId="0EDA0893" w14:textId="77777777" w:rsidTr="00E263F8">
        <w:tc>
          <w:tcPr>
            <w:tcW w:w="0" w:type="auto"/>
            <w:hideMark/>
          </w:tcPr>
          <w:p w14:paraId="3F05464E" w14:textId="77777777" w:rsidR="00E263F8" w:rsidRPr="00E263F8" w:rsidRDefault="00E263F8" w:rsidP="00E263F8">
            <w:pPr>
              <w:pBdr>
                <w:top w:val="nil"/>
                <w:left w:val="nil"/>
                <w:bottom w:val="nil"/>
                <w:right w:val="nil"/>
                <w:between w:val="nil"/>
              </w:pBdr>
              <w:tabs>
                <w:tab w:val="center" w:pos="4680"/>
                <w:tab w:val="right" w:pos="9360"/>
              </w:tabs>
              <w:rPr>
                <w:rFonts w:asciiTheme="minorHAnsi" w:hAnsiTheme="minorHAnsi" w:cstheme="minorHAnsi"/>
              </w:rPr>
            </w:pPr>
            <w:r w:rsidRPr="00E263F8">
              <w:rPr>
                <w:rFonts w:asciiTheme="minorHAnsi" w:hAnsiTheme="minorHAnsi" w:cstheme="minorHAnsi"/>
              </w:rPr>
              <w:t>Ireland</w:t>
            </w:r>
          </w:p>
        </w:tc>
        <w:tc>
          <w:tcPr>
            <w:tcW w:w="0" w:type="auto"/>
            <w:hideMark/>
          </w:tcPr>
          <w:p w14:paraId="4866E4FE" w14:textId="77777777" w:rsidR="00E263F8" w:rsidRPr="00E263F8" w:rsidRDefault="00E263F8" w:rsidP="00E263F8">
            <w:pPr>
              <w:pBdr>
                <w:top w:val="nil"/>
                <w:left w:val="nil"/>
                <w:bottom w:val="nil"/>
                <w:right w:val="nil"/>
                <w:between w:val="nil"/>
              </w:pBdr>
              <w:tabs>
                <w:tab w:val="center" w:pos="4680"/>
                <w:tab w:val="right" w:pos="9360"/>
              </w:tabs>
              <w:rPr>
                <w:rFonts w:asciiTheme="minorHAnsi" w:hAnsiTheme="minorHAnsi" w:cstheme="minorHAnsi"/>
              </w:rPr>
            </w:pPr>
            <w:r w:rsidRPr="00E263F8">
              <w:rPr>
                <w:rFonts w:asciiTheme="minorHAnsi" w:hAnsiTheme="minorHAnsi" w:cstheme="minorHAnsi"/>
              </w:rPr>
              <w:t>2008–10 financial crisis</w:t>
            </w:r>
          </w:p>
        </w:tc>
        <w:tc>
          <w:tcPr>
            <w:tcW w:w="0" w:type="auto"/>
            <w:hideMark/>
          </w:tcPr>
          <w:p w14:paraId="2E6BC921" w14:textId="63D71D89" w:rsidR="00E263F8" w:rsidRPr="00E263F8" w:rsidRDefault="001831EF" w:rsidP="00E263F8">
            <w:pPr>
              <w:pBdr>
                <w:top w:val="nil"/>
                <w:left w:val="nil"/>
                <w:bottom w:val="nil"/>
                <w:right w:val="nil"/>
                <w:between w:val="nil"/>
              </w:pBdr>
              <w:tabs>
                <w:tab w:val="center" w:pos="4680"/>
                <w:tab w:val="right" w:pos="9360"/>
              </w:tabs>
              <w:rPr>
                <w:rFonts w:asciiTheme="minorHAnsi" w:hAnsiTheme="minorHAnsi" w:cstheme="minorHAnsi"/>
              </w:rPr>
            </w:pPr>
            <w:r w:rsidRPr="001831EF">
              <w:rPr>
                <w:rFonts w:asciiTheme="minorHAnsi" w:hAnsiTheme="minorHAnsi" w:cstheme="minorHAnsi"/>
              </w:rPr>
              <w:t>Cut aid by nearly 25% to stabilize the budget; restored years later</w:t>
            </w:r>
            <w:r>
              <w:rPr>
                <w:rFonts w:asciiTheme="minorHAnsi" w:hAnsiTheme="minorHAnsi" w:cstheme="minorHAnsi"/>
              </w:rPr>
              <w:t xml:space="preserve"> </w:t>
            </w:r>
            <w:r w:rsidR="00E263F8">
              <w:rPr>
                <w:rFonts w:asciiTheme="minorHAnsi" w:hAnsiTheme="minorHAnsi" w:cstheme="minorHAnsi"/>
              </w:rPr>
              <w:t>after economic recovery</w:t>
            </w:r>
          </w:p>
        </w:tc>
        <w:tc>
          <w:tcPr>
            <w:tcW w:w="0" w:type="auto"/>
            <w:hideMark/>
          </w:tcPr>
          <w:p w14:paraId="780FBD31" w14:textId="77777777" w:rsidR="00E263F8" w:rsidRPr="00E263F8" w:rsidRDefault="00E263F8" w:rsidP="00E263F8">
            <w:pPr>
              <w:pBdr>
                <w:top w:val="nil"/>
                <w:left w:val="nil"/>
                <w:bottom w:val="nil"/>
                <w:right w:val="nil"/>
                <w:between w:val="nil"/>
              </w:pBdr>
              <w:tabs>
                <w:tab w:val="center" w:pos="4680"/>
                <w:tab w:val="right" w:pos="9360"/>
              </w:tabs>
              <w:rPr>
                <w:rFonts w:asciiTheme="minorHAnsi" w:hAnsiTheme="minorHAnsi" w:cstheme="minorHAnsi"/>
                <w:i/>
                <w:iCs/>
              </w:rPr>
            </w:pPr>
            <w:r w:rsidRPr="00E263F8">
              <w:rPr>
                <w:rFonts w:asciiTheme="minorHAnsi" w:hAnsiTheme="minorHAnsi" w:cstheme="minorHAnsi"/>
                <w:i/>
                <w:iCs/>
              </w:rPr>
              <w:t>House of Lords Library, 2025</w:t>
            </w:r>
          </w:p>
        </w:tc>
      </w:tr>
      <w:tr w:rsidR="00E263F8" w:rsidRPr="00E263F8" w14:paraId="35F2047B" w14:textId="77777777" w:rsidTr="00E263F8">
        <w:tc>
          <w:tcPr>
            <w:tcW w:w="0" w:type="auto"/>
            <w:hideMark/>
          </w:tcPr>
          <w:p w14:paraId="5D87A7F9" w14:textId="77777777" w:rsidR="00E263F8" w:rsidRPr="00E263F8" w:rsidRDefault="00E263F8" w:rsidP="00E263F8">
            <w:pPr>
              <w:pBdr>
                <w:top w:val="nil"/>
                <w:left w:val="nil"/>
                <w:bottom w:val="nil"/>
                <w:right w:val="nil"/>
                <w:between w:val="nil"/>
              </w:pBdr>
              <w:tabs>
                <w:tab w:val="center" w:pos="4680"/>
                <w:tab w:val="right" w:pos="9360"/>
              </w:tabs>
              <w:rPr>
                <w:rFonts w:asciiTheme="minorHAnsi" w:hAnsiTheme="minorHAnsi" w:cstheme="minorHAnsi"/>
              </w:rPr>
            </w:pPr>
            <w:r w:rsidRPr="00E263F8">
              <w:rPr>
                <w:rFonts w:asciiTheme="minorHAnsi" w:hAnsiTheme="minorHAnsi" w:cstheme="minorHAnsi"/>
              </w:rPr>
              <w:t>United States</w:t>
            </w:r>
          </w:p>
        </w:tc>
        <w:tc>
          <w:tcPr>
            <w:tcW w:w="0" w:type="auto"/>
            <w:hideMark/>
          </w:tcPr>
          <w:p w14:paraId="3843DA9E" w14:textId="77777777" w:rsidR="00E263F8" w:rsidRPr="00E263F8" w:rsidRDefault="00E263F8" w:rsidP="00E263F8">
            <w:pPr>
              <w:pBdr>
                <w:top w:val="nil"/>
                <w:left w:val="nil"/>
                <w:bottom w:val="nil"/>
                <w:right w:val="nil"/>
                <w:between w:val="nil"/>
              </w:pBdr>
              <w:tabs>
                <w:tab w:val="center" w:pos="4680"/>
                <w:tab w:val="right" w:pos="9360"/>
              </w:tabs>
              <w:rPr>
                <w:rFonts w:asciiTheme="minorHAnsi" w:hAnsiTheme="minorHAnsi" w:cstheme="minorHAnsi"/>
              </w:rPr>
            </w:pPr>
            <w:r w:rsidRPr="00E263F8">
              <w:rPr>
                <w:rFonts w:asciiTheme="minorHAnsi" w:hAnsiTheme="minorHAnsi" w:cstheme="minorHAnsi"/>
              </w:rPr>
              <w:t>Ongoing domestic priorities</w:t>
            </w:r>
          </w:p>
        </w:tc>
        <w:tc>
          <w:tcPr>
            <w:tcW w:w="0" w:type="auto"/>
            <w:hideMark/>
          </w:tcPr>
          <w:p w14:paraId="1E26AD1A" w14:textId="7E3982D5" w:rsidR="00E263F8" w:rsidRPr="00E263F8" w:rsidRDefault="001831EF" w:rsidP="00E263F8">
            <w:pPr>
              <w:pBdr>
                <w:top w:val="nil"/>
                <w:left w:val="nil"/>
                <w:bottom w:val="nil"/>
                <w:right w:val="nil"/>
                <w:between w:val="nil"/>
              </w:pBdr>
              <w:tabs>
                <w:tab w:val="center" w:pos="4680"/>
                <w:tab w:val="right" w:pos="9360"/>
              </w:tabs>
              <w:rPr>
                <w:rFonts w:asciiTheme="minorHAnsi" w:hAnsiTheme="minorHAnsi" w:cstheme="minorHAnsi"/>
              </w:rPr>
            </w:pPr>
            <w:r w:rsidRPr="001831EF">
              <w:rPr>
                <w:rFonts w:asciiTheme="minorHAnsi" w:hAnsiTheme="minorHAnsi" w:cstheme="minorHAnsi"/>
              </w:rPr>
              <w:t>Maintains low aid-to-GNI ratio of 0.22% while remaining the largest donor in absolute terms ($55.3 billion); prioritizes domestic and military spending</w:t>
            </w:r>
          </w:p>
        </w:tc>
        <w:tc>
          <w:tcPr>
            <w:tcW w:w="0" w:type="auto"/>
            <w:hideMark/>
          </w:tcPr>
          <w:p w14:paraId="4CCB7FC8" w14:textId="18B49D0E" w:rsidR="00E263F8" w:rsidRPr="00E263F8" w:rsidRDefault="001831EF" w:rsidP="00E263F8">
            <w:pPr>
              <w:pBdr>
                <w:top w:val="nil"/>
                <w:left w:val="nil"/>
                <w:bottom w:val="nil"/>
                <w:right w:val="nil"/>
                <w:between w:val="nil"/>
              </w:pBdr>
              <w:tabs>
                <w:tab w:val="center" w:pos="4680"/>
                <w:tab w:val="right" w:pos="9360"/>
              </w:tabs>
              <w:rPr>
                <w:rFonts w:asciiTheme="minorHAnsi" w:hAnsiTheme="minorHAnsi" w:cstheme="minorHAnsi"/>
              </w:rPr>
            </w:pPr>
            <w:r w:rsidRPr="001831EF">
              <w:rPr>
                <w:rFonts w:asciiTheme="minorHAnsi" w:hAnsiTheme="minorHAnsi" w:cstheme="minorHAnsi"/>
              </w:rPr>
              <w:t xml:space="preserve">OECD, </w:t>
            </w:r>
            <w:r w:rsidRPr="001831EF">
              <w:rPr>
                <w:rFonts w:asciiTheme="minorHAnsi" w:hAnsiTheme="minorHAnsi" w:cstheme="minorHAnsi"/>
                <w:i/>
                <w:iCs/>
              </w:rPr>
              <w:t>Development Co-operation Profiles 2023</w:t>
            </w:r>
          </w:p>
        </w:tc>
      </w:tr>
    </w:tbl>
    <w:p w14:paraId="797B988B" w14:textId="1CBF7E4D" w:rsidR="00E263F8" w:rsidRPr="00E263F8" w:rsidRDefault="00E263F8" w:rsidP="00E263F8">
      <w:pPr>
        <w:pBdr>
          <w:top w:val="nil"/>
          <w:left w:val="nil"/>
          <w:bottom w:val="nil"/>
          <w:right w:val="nil"/>
          <w:between w:val="nil"/>
        </w:pBdr>
        <w:tabs>
          <w:tab w:val="center" w:pos="4680"/>
          <w:tab w:val="right" w:pos="9360"/>
        </w:tabs>
        <w:spacing w:after="0" w:line="240" w:lineRule="auto"/>
        <w:rPr>
          <w:rFonts w:asciiTheme="minorHAnsi" w:hAnsiTheme="minorHAnsi" w:cstheme="minorHAnsi"/>
        </w:rPr>
      </w:pPr>
      <w:r w:rsidRPr="00E263F8">
        <w:rPr>
          <w:rFonts w:asciiTheme="minorHAnsi" w:hAnsiTheme="minorHAnsi" w:cstheme="minorHAnsi"/>
          <w:b/>
          <w:bCs/>
        </w:rPr>
        <w:t>Sources:</w:t>
      </w:r>
      <w:r>
        <w:rPr>
          <w:rFonts w:asciiTheme="minorHAnsi" w:hAnsiTheme="minorHAnsi" w:cstheme="minorHAnsi"/>
          <w:b/>
          <w:bCs/>
        </w:rPr>
        <w:t xml:space="preserve"> </w:t>
      </w:r>
      <w:r w:rsidRPr="00E263F8">
        <w:rPr>
          <w:rFonts w:asciiTheme="minorHAnsi" w:hAnsiTheme="minorHAnsi" w:cstheme="minorHAnsi"/>
        </w:rPr>
        <w:t>OECD, Development Co-operation Profiles 2023</w:t>
      </w:r>
      <w:r>
        <w:rPr>
          <w:rFonts w:asciiTheme="minorHAnsi" w:hAnsiTheme="minorHAnsi" w:cstheme="minorHAnsi"/>
        </w:rPr>
        <w:t xml:space="preserve">; </w:t>
      </w:r>
      <w:r w:rsidRPr="00E263F8">
        <w:rPr>
          <w:rFonts w:asciiTheme="minorHAnsi" w:hAnsiTheme="minorHAnsi" w:cstheme="minorHAnsi"/>
        </w:rPr>
        <w:t>OECD, Development Co-operation Report 2017</w:t>
      </w:r>
      <w:r>
        <w:rPr>
          <w:rFonts w:asciiTheme="minorHAnsi" w:hAnsiTheme="minorHAnsi" w:cstheme="minorHAnsi"/>
        </w:rPr>
        <w:t xml:space="preserve">; </w:t>
      </w:r>
      <w:r w:rsidRPr="00E263F8">
        <w:rPr>
          <w:rFonts w:asciiTheme="minorHAnsi" w:hAnsiTheme="minorHAnsi" w:cstheme="minorHAnsi"/>
        </w:rPr>
        <w:t>House of Lords Library, 2025</w:t>
      </w:r>
    </w:p>
    <w:p w14:paraId="0DE940AD" w14:textId="77777777" w:rsidR="00E263F8" w:rsidRDefault="00E263F8" w:rsidP="00652641">
      <w:pPr>
        <w:pBdr>
          <w:top w:val="nil"/>
          <w:left w:val="nil"/>
          <w:bottom w:val="nil"/>
          <w:right w:val="nil"/>
          <w:between w:val="nil"/>
        </w:pBdr>
        <w:tabs>
          <w:tab w:val="center" w:pos="4680"/>
          <w:tab w:val="right" w:pos="9360"/>
        </w:tabs>
        <w:spacing w:after="0" w:line="240" w:lineRule="auto"/>
        <w:rPr>
          <w:rFonts w:asciiTheme="minorHAnsi" w:hAnsiTheme="minorHAnsi" w:cstheme="minorHAnsi"/>
        </w:rPr>
      </w:pPr>
    </w:p>
    <w:p w14:paraId="208AB58E" w14:textId="77777777" w:rsidR="00213725" w:rsidRPr="00213725" w:rsidRDefault="00213725" w:rsidP="00213725">
      <w:pPr>
        <w:pBdr>
          <w:top w:val="nil"/>
          <w:left w:val="nil"/>
          <w:bottom w:val="nil"/>
          <w:right w:val="nil"/>
          <w:between w:val="nil"/>
        </w:pBdr>
        <w:tabs>
          <w:tab w:val="center" w:pos="4680"/>
          <w:tab w:val="right" w:pos="9360"/>
        </w:tabs>
        <w:spacing w:after="0" w:line="240" w:lineRule="auto"/>
        <w:rPr>
          <w:rFonts w:asciiTheme="minorHAnsi" w:hAnsiTheme="minorHAnsi" w:cstheme="minorHAnsi"/>
          <w:b/>
          <w:bCs/>
        </w:rPr>
      </w:pPr>
      <w:r w:rsidRPr="00213725">
        <w:rPr>
          <w:rFonts w:asciiTheme="minorHAnsi" w:hAnsiTheme="minorHAnsi" w:cstheme="minorHAnsi"/>
          <w:b/>
          <w:bCs/>
        </w:rPr>
        <w:t>Exploring Solutions</w:t>
      </w:r>
    </w:p>
    <w:p w14:paraId="30785618" w14:textId="77777777" w:rsidR="00C7625E" w:rsidRPr="00C7625E" w:rsidRDefault="00C7625E" w:rsidP="00C7625E">
      <w:pPr>
        <w:pBdr>
          <w:top w:val="nil"/>
          <w:left w:val="nil"/>
          <w:bottom w:val="nil"/>
          <w:right w:val="nil"/>
          <w:between w:val="nil"/>
        </w:pBdr>
        <w:tabs>
          <w:tab w:val="center" w:pos="4680"/>
          <w:tab w:val="right" w:pos="9360"/>
        </w:tabs>
        <w:spacing w:after="0" w:line="240" w:lineRule="auto"/>
        <w:rPr>
          <w:rFonts w:asciiTheme="minorHAnsi" w:hAnsiTheme="minorHAnsi" w:cstheme="minorHAnsi"/>
        </w:rPr>
      </w:pPr>
      <w:r w:rsidRPr="00C7625E">
        <w:rPr>
          <w:rFonts w:asciiTheme="minorHAnsi" w:hAnsiTheme="minorHAnsi" w:cstheme="minorHAnsi"/>
        </w:rPr>
        <w:t>UK policymakers and analysts have debated three approaches to food insecurity and aid.</w:t>
      </w:r>
    </w:p>
    <w:p w14:paraId="0CDEA0C3" w14:textId="047C78B7" w:rsidR="00C7625E" w:rsidRPr="00C7625E" w:rsidRDefault="00C7625E" w:rsidP="00C7625E">
      <w:pPr>
        <w:numPr>
          <w:ilvl w:val="0"/>
          <w:numId w:val="23"/>
        </w:numPr>
        <w:pBdr>
          <w:top w:val="nil"/>
          <w:left w:val="nil"/>
          <w:bottom w:val="nil"/>
          <w:right w:val="nil"/>
          <w:between w:val="nil"/>
        </w:pBdr>
        <w:tabs>
          <w:tab w:val="center" w:pos="4680"/>
          <w:tab w:val="right" w:pos="9360"/>
        </w:tabs>
        <w:spacing w:after="0" w:line="240" w:lineRule="auto"/>
        <w:rPr>
          <w:rFonts w:asciiTheme="minorHAnsi" w:hAnsiTheme="minorHAnsi" w:cstheme="minorHAnsi"/>
        </w:rPr>
      </w:pPr>
      <w:r w:rsidRPr="00C7625E">
        <w:rPr>
          <w:rFonts w:asciiTheme="minorHAnsi" w:hAnsiTheme="minorHAnsi" w:cstheme="minorHAnsi"/>
          <w:b/>
          <w:bCs/>
        </w:rPr>
        <w:t>Option 1: Restore or Maintain Fixed Aid Targets</w:t>
      </w:r>
      <w:r w:rsidRPr="00C7625E">
        <w:rPr>
          <w:rFonts w:asciiTheme="minorHAnsi" w:hAnsiTheme="minorHAnsi" w:cstheme="minorHAnsi"/>
          <w:b/>
          <w:bCs/>
        </w:rPr>
        <w:t>:</w:t>
      </w:r>
      <w:r w:rsidRPr="00C7625E">
        <w:rPr>
          <w:rFonts w:asciiTheme="minorHAnsi" w:hAnsiTheme="minorHAnsi" w:cstheme="minorHAnsi"/>
        </w:rPr>
        <w:t xml:space="preserve"> </w:t>
      </w:r>
      <w:r w:rsidRPr="00C7625E">
        <w:rPr>
          <w:rFonts w:asciiTheme="minorHAnsi" w:hAnsiTheme="minorHAnsi" w:cstheme="minorHAnsi"/>
        </w:rPr>
        <w:t>This option would keep ODA at 0.5% of GNI or restore it to 0.7%. It preserves credibility abroad but leaves little flexibility when shocks occur. To address hunger at home, the government would need to raise domestic revenue through higher taxes or expand welfare programs (House of Commons Library; Institute for Government). For families, this could mean more predictable aid abroad but slower or more costly relief at home, with households like the Johnsons continuing to depend on food banks until new revenues are found.</w:t>
      </w:r>
    </w:p>
    <w:p w14:paraId="6CCA1377" w14:textId="133E834B" w:rsidR="00C7625E" w:rsidRPr="00C7625E" w:rsidRDefault="00C7625E" w:rsidP="00C7625E">
      <w:pPr>
        <w:numPr>
          <w:ilvl w:val="0"/>
          <w:numId w:val="23"/>
        </w:numPr>
        <w:pBdr>
          <w:top w:val="nil"/>
          <w:left w:val="nil"/>
          <w:bottom w:val="nil"/>
          <w:right w:val="nil"/>
          <w:between w:val="nil"/>
        </w:pBdr>
        <w:tabs>
          <w:tab w:val="center" w:pos="4680"/>
          <w:tab w:val="right" w:pos="9360"/>
        </w:tabs>
        <w:spacing w:after="0" w:line="240" w:lineRule="auto"/>
        <w:rPr>
          <w:rFonts w:asciiTheme="minorHAnsi" w:hAnsiTheme="minorHAnsi" w:cstheme="minorHAnsi"/>
        </w:rPr>
      </w:pPr>
      <w:r w:rsidRPr="00C7625E">
        <w:rPr>
          <w:rFonts w:asciiTheme="minorHAnsi" w:hAnsiTheme="minorHAnsi" w:cstheme="minorHAnsi"/>
          <w:b/>
          <w:bCs/>
        </w:rPr>
        <w:t>Option 2: Deeper and Permanent Reductions</w:t>
      </w:r>
      <w:r w:rsidRPr="00C7625E">
        <w:rPr>
          <w:rFonts w:asciiTheme="minorHAnsi" w:hAnsiTheme="minorHAnsi" w:cstheme="minorHAnsi"/>
          <w:b/>
          <w:bCs/>
        </w:rPr>
        <w:t>:</w:t>
      </w:r>
      <w:r>
        <w:rPr>
          <w:rFonts w:asciiTheme="minorHAnsi" w:hAnsiTheme="minorHAnsi" w:cstheme="minorHAnsi"/>
          <w:b/>
          <w:bCs/>
        </w:rPr>
        <w:t xml:space="preserve"> </w:t>
      </w:r>
      <w:r w:rsidRPr="00C7625E">
        <w:rPr>
          <w:rFonts w:asciiTheme="minorHAnsi" w:hAnsiTheme="minorHAnsi" w:cstheme="minorHAnsi"/>
        </w:rPr>
        <w:t>Cutting ODA to 0.3% of GNI would free billions for domestic food programs such as expanded school meals and food banks (Food Foundation; Trussell Trust). In the short term, this could deliver visible relief for families under pressure from rising rents and grocery bills. However, international precedents in Italy and the United States show that permanent cuts erode influence abroad and provide limited fiscal relief over time (OECD, Development Co-operation Report 2017; Overseas Development Institute). This path risks leaving households like the Johnsons with short-term support but at the cost of the UK’s credibility and ability to mobilize global partnerships in future crises.</w:t>
      </w:r>
    </w:p>
    <w:p w14:paraId="42941BDE" w14:textId="5A7F2135" w:rsidR="006B669A" w:rsidRPr="006B669A" w:rsidRDefault="00C7625E" w:rsidP="00C7625E">
      <w:pPr>
        <w:numPr>
          <w:ilvl w:val="0"/>
          <w:numId w:val="23"/>
        </w:numPr>
        <w:pBdr>
          <w:top w:val="nil"/>
          <w:left w:val="nil"/>
          <w:bottom w:val="nil"/>
          <w:right w:val="nil"/>
          <w:between w:val="nil"/>
        </w:pBdr>
        <w:tabs>
          <w:tab w:val="center" w:pos="4680"/>
          <w:tab w:val="right" w:pos="9360"/>
        </w:tabs>
        <w:spacing w:after="0" w:line="240" w:lineRule="auto"/>
        <w:rPr>
          <w:rFonts w:asciiTheme="minorHAnsi" w:hAnsiTheme="minorHAnsi" w:cstheme="minorHAnsi"/>
        </w:rPr>
      </w:pPr>
      <w:r w:rsidRPr="00C7625E">
        <w:rPr>
          <w:rFonts w:asciiTheme="minorHAnsi" w:hAnsiTheme="minorHAnsi" w:cstheme="minorHAnsi"/>
          <w:b/>
          <w:bCs/>
        </w:rPr>
        <w:t>Option 3: Phased and Accountable Reallocation of ODA</w:t>
      </w:r>
      <w:r w:rsidRPr="00C7625E">
        <w:rPr>
          <w:rFonts w:asciiTheme="minorHAnsi" w:hAnsiTheme="minorHAnsi" w:cstheme="minorHAnsi"/>
          <w:b/>
          <w:bCs/>
        </w:rPr>
        <w:t xml:space="preserve">: </w:t>
      </w:r>
      <w:r w:rsidRPr="00C7625E">
        <w:rPr>
          <w:rFonts w:asciiTheme="minorHAnsi" w:hAnsiTheme="minorHAnsi" w:cstheme="minorHAnsi"/>
        </w:rPr>
        <w:t>This option represents a new, structured framework not yet tested in the UK. It would temporarily redirect a majority of ODA to domestic food insecurity while retaining a portion for life-saving international programs. Entry and exit triggers would link aid levels to fiscal and social benchmarks, restoring higher overseas commitments once stability improves (Institute for Government; OECD, Development Co-operation Profiles). For families, this means relief arrives quickly, but support is designed to last only until household food insecurity falls below agreed thresholds.</w:t>
      </w:r>
    </w:p>
    <w:p w14:paraId="19F9C25A" w14:textId="77777777" w:rsidR="00213725" w:rsidRDefault="00213725" w:rsidP="001D2D18">
      <w:pPr>
        <w:pBdr>
          <w:top w:val="nil"/>
          <w:left w:val="nil"/>
          <w:bottom w:val="nil"/>
          <w:right w:val="nil"/>
          <w:between w:val="nil"/>
        </w:pBdr>
        <w:tabs>
          <w:tab w:val="center" w:pos="4680"/>
          <w:tab w:val="right" w:pos="9360"/>
        </w:tabs>
        <w:spacing w:after="0" w:line="240" w:lineRule="auto"/>
        <w:rPr>
          <w:rFonts w:asciiTheme="minorHAnsi" w:hAnsiTheme="minorHAnsi" w:cstheme="minorHAnsi"/>
          <w:b/>
          <w:bCs/>
        </w:rPr>
      </w:pPr>
    </w:p>
    <w:p w14:paraId="0CC81780" w14:textId="77777777" w:rsidR="00101BE2" w:rsidRDefault="00320EF0" w:rsidP="00320EF0">
      <w:pPr>
        <w:pBdr>
          <w:top w:val="nil"/>
          <w:left w:val="nil"/>
          <w:bottom w:val="nil"/>
          <w:right w:val="nil"/>
          <w:between w:val="nil"/>
        </w:pBdr>
        <w:tabs>
          <w:tab w:val="center" w:pos="4680"/>
          <w:tab w:val="right" w:pos="9360"/>
        </w:tabs>
        <w:spacing w:after="0" w:line="240" w:lineRule="auto"/>
        <w:rPr>
          <w:rFonts w:asciiTheme="minorHAnsi" w:hAnsiTheme="minorHAnsi" w:cstheme="minorHAnsi"/>
          <w:b/>
          <w:bCs/>
        </w:rPr>
      </w:pPr>
      <w:r w:rsidRPr="00320EF0">
        <w:rPr>
          <w:rFonts w:asciiTheme="minorHAnsi" w:hAnsiTheme="minorHAnsi" w:cstheme="minorHAnsi"/>
          <w:b/>
          <w:bCs/>
        </w:rPr>
        <w:t>Recommendation</w:t>
      </w:r>
      <w:r w:rsidR="00101BE2">
        <w:rPr>
          <w:rFonts w:asciiTheme="minorHAnsi" w:hAnsiTheme="minorHAnsi" w:cstheme="minorHAnsi"/>
          <w:b/>
          <w:bCs/>
        </w:rPr>
        <w:t xml:space="preserve"> and Implementation</w:t>
      </w:r>
    </w:p>
    <w:p w14:paraId="46B6169B" w14:textId="10721C4A" w:rsidR="00320EF0" w:rsidRPr="00C7625E" w:rsidRDefault="00213725" w:rsidP="00320EF0">
      <w:pPr>
        <w:pBdr>
          <w:top w:val="nil"/>
          <w:left w:val="nil"/>
          <w:bottom w:val="nil"/>
          <w:right w:val="nil"/>
          <w:between w:val="nil"/>
        </w:pBdr>
        <w:tabs>
          <w:tab w:val="center" w:pos="4680"/>
          <w:tab w:val="right" w:pos="9360"/>
        </w:tabs>
        <w:spacing w:after="0" w:line="240" w:lineRule="auto"/>
        <w:rPr>
          <w:rFonts w:asciiTheme="minorHAnsi" w:hAnsiTheme="minorHAnsi" w:cstheme="minorHAnsi"/>
        </w:rPr>
      </w:pPr>
      <w:r w:rsidRPr="00101BE2">
        <w:rPr>
          <w:rFonts w:asciiTheme="minorHAnsi" w:hAnsiTheme="minorHAnsi" w:cstheme="minorHAnsi"/>
          <w:b/>
          <w:bCs/>
        </w:rPr>
        <w:t>This paper recommends Option 3: a phased and accountable reallocation of ODA</w:t>
      </w:r>
      <w:r w:rsidR="00C7625E">
        <w:rPr>
          <w:rFonts w:asciiTheme="minorHAnsi" w:hAnsiTheme="minorHAnsi" w:cstheme="minorHAnsi"/>
          <w:b/>
          <w:bCs/>
        </w:rPr>
        <w:t xml:space="preserve"> </w:t>
      </w:r>
      <w:r w:rsidR="00C7625E" w:rsidRPr="00C7625E">
        <w:rPr>
          <w:rFonts w:asciiTheme="minorHAnsi" w:hAnsiTheme="minorHAnsi" w:cstheme="minorHAnsi"/>
        </w:rPr>
        <w:t>as the most effective and balanced solution</w:t>
      </w:r>
      <w:r w:rsidRPr="00C7625E">
        <w:rPr>
          <w:rFonts w:asciiTheme="minorHAnsi" w:hAnsiTheme="minorHAnsi" w:cstheme="minorHAnsi"/>
        </w:rPr>
        <w:t>.</w:t>
      </w:r>
    </w:p>
    <w:p w14:paraId="4EC1A8C0" w14:textId="04B3EDAC" w:rsidR="006B669A" w:rsidRPr="006B669A" w:rsidRDefault="006B669A" w:rsidP="006B669A">
      <w:pPr>
        <w:pBdr>
          <w:top w:val="nil"/>
          <w:left w:val="nil"/>
          <w:bottom w:val="nil"/>
          <w:right w:val="nil"/>
          <w:between w:val="nil"/>
        </w:pBdr>
        <w:tabs>
          <w:tab w:val="center" w:pos="4680"/>
          <w:tab w:val="right" w:pos="9360"/>
        </w:tabs>
        <w:spacing w:after="0" w:line="240" w:lineRule="auto"/>
        <w:rPr>
          <w:rFonts w:asciiTheme="minorHAnsi" w:hAnsiTheme="minorHAnsi" w:cstheme="minorHAnsi"/>
        </w:rPr>
      </w:pPr>
      <w:r w:rsidRPr="006B669A">
        <w:rPr>
          <w:rFonts w:asciiTheme="minorHAnsi" w:hAnsiTheme="minorHAnsi" w:cstheme="minorHAnsi"/>
          <w:b/>
          <w:bCs/>
        </w:rPr>
        <w:t xml:space="preserve">Rationale: </w:t>
      </w:r>
    </w:p>
    <w:p w14:paraId="76739D8C" w14:textId="7218C242" w:rsidR="006B669A" w:rsidRPr="006B669A" w:rsidRDefault="006B669A" w:rsidP="006B669A">
      <w:pPr>
        <w:numPr>
          <w:ilvl w:val="0"/>
          <w:numId w:val="22"/>
        </w:numPr>
        <w:spacing w:after="0" w:line="240" w:lineRule="auto"/>
        <w:rPr>
          <w:rFonts w:asciiTheme="minorHAnsi" w:eastAsia="Times New Roman" w:hAnsiTheme="minorHAnsi" w:cstheme="minorHAnsi"/>
        </w:rPr>
      </w:pPr>
      <w:r w:rsidRPr="006B669A">
        <w:rPr>
          <w:rFonts w:asciiTheme="minorHAnsi" w:eastAsia="Times New Roman" w:hAnsiTheme="minorHAnsi" w:cstheme="minorHAnsi"/>
          <w:b/>
          <w:bCs/>
        </w:rPr>
        <w:t>Supported by International Precedent:</w:t>
      </w:r>
      <w:r w:rsidRPr="006B669A">
        <w:rPr>
          <w:rFonts w:asciiTheme="minorHAnsi" w:eastAsia="Times New Roman" w:hAnsiTheme="minorHAnsi" w:cstheme="minorHAnsi"/>
        </w:rPr>
        <w:t xml:space="preserve"> </w:t>
      </w:r>
      <w:r w:rsidR="00C7625E" w:rsidRPr="00C7625E">
        <w:rPr>
          <w:rFonts w:asciiTheme="minorHAnsi" w:eastAsia="Times New Roman" w:hAnsiTheme="minorHAnsi" w:cstheme="minorHAnsi"/>
        </w:rPr>
        <w:t xml:space="preserve">Unlike Option 1, it does not lock the UK into rigid aid targets that ignore shocks like Brexit or COVID-19 (Office for Budget Responsibility; ONS). Unlike Option 2, it avoids reputational damage and reduced influence for limited fiscal relief, as seen in Italy and the United States (OECD, </w:t>
      </w:r>
      <w:r w:rsidR="00C7625E" w:rsidRPr="00C7625E">
        <w:rPr>
          <w:rFonts w:asciiTheme="minorHAnsi" w:eastAsia="Times New Roman" w:hAnsiTheme="minorHAnsi" w:cstheme="minorHAnsi"/>
          <w:i/>
          <w:iCs/>
        </w:rPr>
        <w:t>Development Co-operation Report 2017</w:t>
      </w:r>
      <w:r w:rsidR="00C7625E" w:rsidRPr="00C7625E">
        <w:rPr>
          <w:rFonts w:asciiTheme="minorHAnsi" w:eastAsia="Times New Roman" w:hAnsiTheme="minorHAnsi" w:cstheme="minorHAnsi"/>
        </w:rPr>
        <w:t xml:space="preserve">; House of Lords Library). Instead, it follows international precedent from Canada and Denmark, where flexible frameworks have </w:t>
      </w:r>
      <w:r w:rsidR="00C7625E" w:rsidRPr="00C7625E">
        <w:rPr>
          <w:rFonts w:asciiTheme="minorHAnsi" w:eastAsia="Times New Roman" w:hAnsiTheme="minorHAnsi" w:cstheme="minorHAnsi"/>
        </w:rPr>
        <w:lastRenderedPageBreak/>
        <w:t xml:space="preserve">preserved credibility abroad while meeting urgent domestic needs (OECD, </w:t>
      </w:r>
      <w:r w:rsidR="00C7625E" w:rsidRPr="00C7625E">
        <w:rPr>
          <w:rFonts w:asciiTheme="minorHAnsi" w:eastAsia="Times New Roman" w:hAnsiTheme="minorHAnsi" w:cstheme="minorHAnsi"/>
          <w:i/>
          <w:iCs/>
        </w:rPr>
        <w:t>Development Co-operation Profiles</w:t>
      </w:r>
      <w:r w:rsidR="00C7625E" w:rsidRPr="00C7625E">
        <w:rPr>
          <w:rFonts w:asciiTheme="minorHAnsi" w:eastAsia="Times New Roman" w:hAnsiTheme="minorHAnsi" w:cstheme="minorHAnsi"/>
        </w:rPr>
        <w:t>; Danish Ministry of Foreign Affairs).</w:t>
      </w:r>
    </w:p>
    <w:p w14:paraId="3071E50C" w14:textId="77777777" w:rsidR="00C7625E" w:rsidRDefault="006B669A" w:rsidP="006B669A">
      <w:pPr>
        <w:numPr>
          <w:ilvl w:val="0"/>
          <w:numId w:val="22"/>
        </w:numPr>
        <w:spacing w:after="0" w:line="240" w:lineRule="auto"/>
        <w:rPr>
          <w:rFonts w:asciiTheme="minorHAnsi" w:eastAsia="Times New Roman" w:hAnsiTheme="minorHAnsi" w:cstheme="minorHAnsi"/>
        </w:rPr>
      </w:pPr>
      <w:r w:rsidRPr="006B669A">
        <w:rPr>
          <w:rFonts w:asciiTheme="minorHAnsi" w:eastAsia="Times New Roman" w:hAnsiTheme="minorHAnsi" w:cstheme="minorHAnsi"/>
          <w:b/>
          <w:bCs/>
        </w:rPr>
        <w:t>Stakeholder Impact:</w:t>
      </w:r>
      <w:r w:rsidRPr="006B669A">
        <w:rPr>
          <w:rFonts w:asciiTheme="minorHAnsi" w:eastAsia="Times New Roman" w:hAnsiTheme="minorHAnsi" w:cstheme="minorHAnsi"/>
        </w:rPr>
        <w:t xml:space="preserve"> </w:t>
      </w:r>
      <w:r w:rsidR="00C7625E" w:rsidRPr="00C7625E">
        <w:rPr>
          <w:rFonts w:asciiTheme="minorHAnsi" w:eastAsia="Times New Roman" w:hAnsiTheme="minorHAnsi" w:cstheme="minorHAnsi"/>
        </w:rPr>
        <w:t>Phased reallocation delivers immediate relief to food-insecure households. For families like the Johnsons, this means access to fresh fruit, protein, and warm meals through expanded school programs and food vouchers rather than reliance on food banks (Food Foundation; Trussell Trust). Refugees benefit from targeted support in housing, training, and integration, reducing their need for emergency food aid (Foreign, Commonwealth &amp; Development Office). For taxpayers, the strategy uses existing budgets transparently, avoids new taxes, and shows measurable returns on investment (Institute for Government). International partners still see a reliable UK role, with funding directed to famine prevention, disease control, and coordinated humanitarian response, tying commitments to measurable results rather than symbolic targets (OECD, 2023; Danish Ministry of Foreign Affairs).</w:t>
      </w:r>
    </w:p>
    <w:p w14:paraId="5DBC784A" w14:textId="7F6874A7" w:rsidR="00213725" w:rsidRPr="00C7625E" w:rsidRDefault="006B669A" w:rsidP="00C7625E">
      <w:pPr>
        <w:numPr>
          <w:ilvl w:val="0"/>
          <w:numId w:val="22"/>
        </w:numPr>
        <w:pBdr>
          <w:top w:val="nil"/>
          <w:left w:val="nil"/>
          <w:bottom w:val="nil"/>
          <w:right w:val="nil"/>
          <w:between w:val="nil"/>
        </w:pBdr>
        <w:spacing w:after="0" w:line="240" w:lineRule="auto"/>
        <w:rPr>
          <w:rFonts w:asciiTheme="minorHAnsi" w:eastAsia="Times New Roman" w:hAnsiTheme="minorHAnsi" w:cstheme="minorHAnsi"/>
        </w:rPr>
      </w:pPr>
      <w:r w:rsidRPr="006B669A">
        <w:rPr>
          <w:rFonts w:asciiTheme="minorHAnsi" w:eastAsia="Times New Roman" w:hAnsiTheme="minorHAnsi" w:cstheme="minorHAnsi"/>
          <w:b/>
          <w:bCs/>
        </w:rPr>
        <w:t>Funding and Sustainability:</w:t>
      </w:r>
      <w:r w:rsidRPr="006B669A">
        <w:rPr>
          <w:rFonts w:asciiTheme="minorHAnsi" w:eastAsia="Times New Roman" w:hAnsiTheme="minorHAnsi" w:cstheme="minorHAnsi"/>
        </w:rPr>
        <w:t xml:space="preserve"> </w:t>
      </w:r>
      <w:r w:rsidR="00C7625E" w:rsidRPr="00C7625E">
        <w:rPr>
          <w:rFonts w:asciiTheme="minorHAnsi" w:eastAsia="Times New Roman" w:hAnsiTheme="minorHAnsi" w:cstheme="minorHAnsi"/>
        </w:rPr>
        <w:t xml:space="preserve">This option is fiscally responsible because it reallocates existing ODA budgets rather than creating new spending, preventing further deficit growth (Foreign, Commonwealth &amp; Development Office; Office for Budget Responsibility). In the short term, it frees capacity for urgent domestic food programs without raising taxes or borrowing. Over the medium term, families gain stability in food support, while government ensures accountability through annual reviews and social benchmarks. In the long term, restoration of ODA would be linked to fiscal recovery indicators such as a declining debt-to-GDP ratio and balanced budgets (HM Treasury; Office for Budget Responsibility, </w:t>
      </w:r>
      <w:r w:rsidR="00C7625E" w:rsidRPr="00C7625E">
        <w:rPr>
          <w:rFonts w:asciiTheme="minorHAnsi" w:eastAsia="Times New Roman" w:hAnsiTheme="minorHAnsi" w:cstheme="minorHAnsi"/>
          <w:i/>
          <w:iCs/>
        </w:rPr>
        <w:t>Debt Interest and Borrowing Statistics</w:t>
      </w:r>
      <w:r w:rsidR="00C7625E" w:rsidRPr="00C7625E">
        <w:rPr>
          <w:rFonts w:asciiTheme="minorHAnsi" w:eastAsia="Times New Roman" w:hAnsiTheme="minorHAnsi" w:cstheme="minorHAnsi"/>
        </w:rPr>
        <w:t>).</w:t>
      </w:r>
      <w:r w:rsidR="00C7625E" w:rsidRPr="00C7625E">
        <w:rPr>
          <w:rFonts w:asciiTheme="minorHAnsi" w:eastAsia="Times New Roman" w:hAnsiTheme="minorHAnsi" w:cstheme="minorHAnsi"/>
        </w:rPr>
        <w:t xml:space="preserve"> </w:t>
      </w:r>
      <w:r w:rsidR="00C7625E" w:rsidRPr="00C7625E">
        <w:rPr>
          <w:rFonts w:asciiTheme="minorHAnsi" w:eastAsia="Times New Roman" w:hAnsiTheme="minorHAnsi" w:cstheme="minorHAnsi"/>
        </w:rPr>
        <w:t>By aligning international commitments with domestic resilience, this plan ensures compassion begins with households at home while still sustaining the UK’s global leadership.</w:t>
      </w:r>
    </w:p>
    <w:p w14:paraId="4ED313F7" w14:textId="77777777" w:rsidR="00C7625E" w:rsidRPr="00C7625E" w:rsidRDefault="00C7625E" w:rsidP="00C7625E">
      <w:pPr>
        <w:pBdr>
          <w:top w:val="nil"/>
          <w:left w:val="nil"/>
          <w:bottom w:val="nil"/>
          <w:right w:val="nil"/>
          <w:between w:val="nil"/>
        </w:pBdr>
        <w:spacing w:after="0" w:line="240" w:lineRule="auto"/>
        <w:ind w:left="360"/>
        <w:rPr>
          <w:rFonts w:asciiTheme="minorHAnsi" w:hAnsiTheme="minorHAnsi" w:cstheme="minorHAnsi"/>
          <w:b/>
          <w:bCs/>
        </w:rPr>
      </w:pPr>
    </w:p>
    <w:p w14:paraId="6D0CDE4B" w14:textId="45FED625" w:rsidR="003F0047" w:rsidRPr="003F0047" w:rsidRDefault="003F0047" w:rsidP="003F0047">
      <w:pPr>
        <w:pBdr>
          <w:top w:val="nil"/>
          <w:left w:val="nil"/>
          <w:bottom w:val="nil"/>
          <w:right w:val="nil"/>
          <w:between w:val="nil"/>
        </w:pBdr>
        <w:tabs>
          <w:tab w:val="center" w:pos="4680"/>
          <w:tab w:val="right" w:pos="9360"/>
        </w:tabs>
        <w:spacing w:after="0" w:line="240" w:lineRule="auto"/>
        <w:rPr>
          <w:rFonts w:asciiTheme="minorHAnsi" w:hAnsiTheme="minorHAnsi" w:cstheme="minorHAnsi"/>
          <w:b/>
          <w:bCs/>
        </w:rPr>
      </w:pPr>
      <w:r w:rsidRPr="003F0047">
        <w:rPr>
          <w:rFonts w:asciiTheme="minorHAnsi" w:hAnsiTheme="minorHAnsi" w:cstheme="minorHAnsi"/>
          <w:b/>
          <w:bCs/>
        </w:rPr>
        <w:t xml:space="preserve">Implementation: From Food </w:t>
      </w:r>
      <w:r>
        <w:rPr>
          <w:rFonts w:asciiTheme="minorHAnsi" w:hAnsiTheme="minorHAnsi" w:cstheme="minorHAnsi"/>
          <w:b/>
          <w:bCs/>
        </w:rPr>
        <w:t>Ins</w:t>
      </w:r>
      <w:r w:rsidRPr="003F0047">
        <w:rPr>
          <w:rFonts w:asciiTheme="minorHAnsi" w:hAnsiTheme="minorHAnsi" w:cstheme="minorHAnsi"/>
          <w:b/>
          <w:bCs/>
        </w:rPr>
        <w:t xml:space="preserve">ecurity </w:t>
      </w:r>
      <w:r>
        <w:rPr>
          <w:rFonts w:asciiTheme="minorHAnsi" w:hAnsiTheme="minorHAnsi" w:cstheme="minorHAnsi"/>
          <w:b/>
          <w:bCs/>
        </w:rPr>
        <w:t xml:space="preserve">Relief </w:t>
      </w:r>
      <w:r w:rsidRPr="003F0047">
        <w:rPr>
          <w:rFonts w:asciiTheme="minorHAnsi" w:hAnsiTheme="minorHAnsi" w:cstheme="minorHAnsi"/>
          <w:b/>
          <w:bCs/>
        </w:rPr>
        <w:t>to Sustainable Balance</w:t>
      </w:r>
    </w:p>
    <w:p w14:paraId="579119F3" w14:textId="77777777" w:rsidR="00B54630" w:rsidRPr="00B54630" w:rsidRDefault="00B54630" w:rsidP="00B54630">
      <w:pPr>
        <w:pBdr>
          <w:top w:val="nil"/>
          <w:left w:val="nil"/>
          <w:bottom w:val="nil"/>
          <w:right w:val="nil"/>
          <w:between w:val="nil"/>
        </w:pBdr>
        <w:tabs>
          <w:tab w:val="center" w:pos="4680"/>
          <w:tab w:val="right" w:pos="9360"/>
        </w:tabs>
        <w:spacing w:after="0" w:line="240" w:lineRule="auto"/>
        <w:rPr>
          <w:rFonts w:asciiTheme="minorHAnsi" w:hAnsiTheme="minorHAnsi" w:cstheme="minorHAnsi"/>
        </w:rPr>
      </w:pPr>
      <w:r w:rsidRPr="00B54630">
        <w:rPr>
          <w:rFonts w:asciiTheme="minorHAnsi" w:hAnsiTheme="minorHAnsi" w:cstheme="minorHAnsi"/>
        </w:rPr>
        <w:t>The phased, accountable reallocation of ODA should proceed in three stages that prioritize short-term relief, build resilience, and restore international commitments as soon as conditions allow. Each phase leverages existing UK institutions and ensures that families most affected by food insecurity remain central to policy decisions.</w:t>
      </w:r>
    </w:p>
    <w:p w14:paraId="749D5571" w14:textId="77777777" w:rsidR="00B54630" w:rsidRPr="00B54630" w:rsidRDefault="00B54630" w:rsidP="00B54630">
      <w:pPr>
        <w:numPr>
          <w:ilvl w:val="0"/>
          <w:numId w:val="28"/>
        </w:numPr>
        <w:pBdr>
          <w:top w:val="nil"/>
          <w:left w:val="nil"/>
          <w:bottom w:val="nil"/>
          <w:right w:val="nil"/>
          <w:between w:val="nil"/>
        </w:pBdr>
        <w:tabs>
          <w:tab w:val="center" w:pos="4680"/>
          <w:tab w:val="right" w:pos="9360"/>
        </w:tabs>
        <w:spacing w:after="0" w:line="240" w:lineRule="auto"/>
        <w:rPr>
          <w:rFonts w:asciiTheme="minorHAnsi" w:hAnsiTheme="minorHAnsi" w:cstheme="minorHAnsi"/>
        </w:rPr>
      </w:pPr>
      <w:r w:rsidRPr="00B54630">
        <w:rPr>
          <w:rFonts w:asciiTheme="minorHAnsi" w:hAnsiTheme="minorHAnsi" w:cstheme="minorHAnsi"/>
          <w:b/>
          <w:bCs/>
        </w:rPr>
        <w:t>Short Term (1–3 Years):</w:t>
      </w:r>
      <w:r w:rsidRPr="00B54630">
        <w:rPr>
          <w:rFonts w:asciiTheme="minorHAnsi" w:hAnsiTheme="minorHAnsi" w:cstheme="minorHAnsi"/>
        </w:rPr>
        <w:t xml:space="preserve"> Urgent Stabilization. Immediate relief would come through a nationwide Food Security Surge, partnering with councils, schools, and major retailers. Using Universal Credit and school records, children from low-income families would be automatically enrolled in expanded meal programs. Schools receive extra funding for nutritious meals, while councils manage outreach. Low-income households get monthly food vouchers for staple groceries and fresh produce, ensuring families like the Johnsons access healthier food without complex applications. Community groups and food banks provide outreach and feedback. Progress is tracked through quarterly reviews by the Office for Budget Responsibility and local boards. Once child food insecurity falls below 10% for two consecutive years, the program advances. Pilots in Manchester and Birmingham confirm viability before national scale-up (Office for Budget Responsibility; HM Treasury).</w:t>
      </w:r>
    </w:p>
    <w:p w14:paraId="52E3CBE8" w14:textId="77777777" w:rsidR="00B54630" w:rsidRPr="00B54630" w:rsidRDefault="00B54630" w:rsidP="00B54630">
      <w:pPr>
        <w:numPr>
          <w:ilvl w:val="0"/>
          <w:numId w:val="28"/>
        </w:numPr>
        <w:pBdr>
          <w:top w:val="nil"/>
          <w:left w:val="nil"/>
          <w:bottom w:val="nil"/>
          <w:right w:val="nil"/>
          <w:between w:val="nil"/>
        </w:pBdr>
        <w:tabs>
          <w:tab w:val="center" w:pos="4680"/>
          <w:tab w:val="right" w:pos="9360"/>
        </w:tabs>
        <w:spacing w:after="0" w:line="240" w:lineRule="auto"/>
        <w:rPr>
          <w:rFonts w:asciiTheme="minorHAnsi" w:hAnsiTheme="minorHAnsi" w:cstheme="minorHAnsi"/>
        </w:rPr>
      </w:pPr>
      <w:r w:rsidRPr="00B54630">
        <w:rPr>
          <w:rFonts w:asciiTheme="minorHAnsi" w:hAnsiTheme="minorHAnsi" w:cstheme="minorHAnsi"/>
          <w:b/>
          <w:bCs/>
        </w:rPr>
        <w:t>Medium Term (3–5 Years):</w:t>
      </w:r>
      <w:r w:rsidRPr="00B54630">
        <w:rPr>
          <w:rFonts w:asciiTheme="minorHAnsi" w:hAnsiTheme="minorHAnsi" w:cstheme="minorHAnsi"/>
        </w:rPr>
        <w:t xml:space="preserve"> Building a Resilient Safety Net. With instability eased, the strategy strengthens the safety net. Universal Credit would be linked to inflation and supplemented for families with children. Government, local authorities, and voluntary groups expand food hubs, kitchens, and cooperatives. Councils and schools ensure accessibility and cultural relevance, while community groups tailor services for marginalized populations. Skill development and employment support help families move beyond long-term dependence. Independent audits assess financial stewardship and real-world impact. Annual reviews adjust funding as benchmarks are met. Parental feedback and focus groups guide improvements.</w:t>
      </w:r>
    </w:p>
    <w:p w14:paraId="081266DD" w14:textId="77777777" w:rsidR="00B54630" w:rsidRPr="00B54630" w:rsidRDefault="00B54630" w:rsidP="00B54630">
      <w:pPr>
        <w:numPr>
          <w:ilvl w:val="0"/>
          <w:numId w:val="28"/>
        </w:numPr>
        <w:pBdr>
          <w:top w:val="nil"/>
          <w:left w:val="nil"/>
          <w:bottom w:val="nil"/>
          <w:right w:val="nil"/>
          <w:between w:val="nil"/>
        </w:pBdr>
        <w:tabs>
          <w:tab w:val="center" w:pos="4680"/>
          <w:tab w:val="right" w:pos="9360"/>
        </w:tabs>
        <w:spacing w:after="0" w:line="240" w:lineRule="auto"/>
        <w:rPr>
          <w:rFonts w:asciiTheme="minorHAnsi" w:hAnsiTheme="minorHAnsi" w:cstheme="minorHAnsi"/>
        </w:rPr>
      </w:pPr>
      <w:r w:rsidRPr="00B54630">
        <w:rPr>
          <w:rFonts w:asciiTheme="minorHAnsi" w:hAnsiTheme="minorHAnsi" w:cstheme="minorHAnsi"/>
          <w:b/>
          <w:bCs/>
        </w:rPr>
        <w:t>Long Term (Beyond 5 Years):</w:t>
      </w:r>
      <w:r w:rsidRPr="00B54630">
        <w:rPr>
          <w:rFonts w:asciiTheme="minorHAnsi" w:hAnsiTheme="minorHAnsi" w:cstheme="minorHAnsi"/>
        </w:rPr>
        <w:t xml:space="preserve"> Restoration and Sustainability. Once stability returns, ODA would be gradually restored to pre-crisis levels, tied to fiscal indicators such as reduced borrowing and </w:t>
      </w:r>
      <w:r w:rsidRPr="00B54630">
        <w:rPr>
          <w:rFonts w:asciiTheme="minorHAnsi" w:hAnsiTheme="minorHAnsi" w:cstheme="minorHAnsi"/>
        </w:rPr>
        <w:lastRenderedPageBreak/>
        <w:t>progress on the debt-to-GDP ratio. International commitments expand only if domestic food security remains strong. Core nutrition support would continue to guard against shocks, with only the most effective programs scaled nationally. Each ODA increase requires verification from the Office for Budget Responsibility and international partners, alongside citizen panel input reported to Parliament. If food insecurity rises again, enhanced funding and council powers could be swiftly reintroduced.</w:t>
      </w:r>
    </w:p>
    <w:p w14:paraId="41F477A0" w14:textId="77777777" w:rsidR="00B54630" w:rsidRDefault="00B54630" w:rsidP="00B54630">
      <w:pPr>
        <w:pBdr>
          <w:top w:val="nil"/>
          <w:left w:val="nil"/>
          <w:bottom w:val="nil"/>
          <w:right w:val="nil"/>
          <w:between w:val="nil"/>
        </w:pBdr>
        <w:tabs>
          <w:tab w:val="center" w:pos="4680"/>
          <w:tab w:val="right" w:pos="9360"/>
        </w:tabs>
        <w:spacing w:after="0" w:line="240" w:lineRule="auto"/>
        <w:rPr>
          <w:rFonts w:asciiTheme="minorHAnsi" w:hAnsiTheme="minorHAnsi" w:cstheme="minorHAnsi"/>
        </w:rPr>
      </w:pPr>
    </w:p>
    <w:p w14:paraId="4500EF1F" w14:textId="50936773" w:rsidR="00B54630" w:rsidRPr="00B54630" w:rsidRDefault="00B54630" w:rsidP="00B54630">
      <w:pPr>
        <w:pBdr>
          <w:top w:val="nil"/>
          <w:left w:val="nil"/>
          <w:bottom w:val="nil"/>
          <w:right w:val="nil"/>
          <w:between w:val="nil"/>
        </w:pBdr>
        <w:tabs>
          <w:tab w:val="center" w:pos="4680"/>
          <w:tab w:val="right" w:pos="9360"/>
        </w:tabs>
        <w:spacing w:after="0" w:line="240" w:lineRule="auto"/>
        <w:rPr>
          <w:rFonts w:asciiTheme="minorHAnsi" w:hAnsiTheme="minorHAnsi" w:cstheme="minorHAnsi"/>
        </w:rPr>
      </w:pPr>
      <w:r w:rsidRPr="00B54630">
        <w:rPr>
          <w:rFonts w:asciiTheme="minorHAnsi" w:hAnsiTheme="minorHAnsi" w:cstheme="minorHAnsi"/>
        </w:rPr>
        <w:t>Throughout these phases, all stakeholders are essential: local authorities and schools deliver support, community organizations extend outreach, central government manages oversight, and families like the Johnsons provide input to keep each phase practical and focused on those most at risk.</w:t>
      </w:r>
    </w:p>
    <w:p w14:paraId="7121858B" w14:textId="77777777" w:rsidR="00AE2B95" w:rsidRPr="00B54630" w:rsidRDefault="00AE2B95" w:rsidP="00320EF0">
      <w:pPr>
        <w:pBdr>
          <w:top w:val="nil"/>
          <w:left w:val="nil"/>
          <w:bottom w:val="nil"/>
          <w:right w:val="nil"/>
          <w:between w:val="nil"/>
        </w:pBdr>
        <w:tabs>
          <w:tab w:val="center" w:pos="4680"/>
          <w:tab w:val="right" w:pos="9360"/>
        </w:tabs>
        <w:spacing w:after="0" w:line="240" w:lineRule="auto"/>
        <w:rPr>
          <w:rFonts w:asciiTheme="minorHAnsi" w:hAnsiTheme="minorHAnsi" w:cstheme="minorHAnsi"/>
        </w:rPr>
      </w:pPr>
    </w:p>
    <w:p w14:paraId="45AA724D" w14:textId="7F5E6ED3" w:rsidR="00E42D7D" w:rsidRPr="00E42D7D" w:rsidRDefault="00E42D7D" w:rsidP="00E42D7D">
      <w:pPr>
        <w:pBdr>
          <w:top w:val="nil"/>
          <w:left w:val="nil"/>
          <w:bottom w:val="nil"/>
          <w:right w:val="nil"/>
          <w:between w:val="nil"/>
        </w:pBdr>
        <w:tabs>
          <w:tab w:val="center" w:pos="4680"/>
          <w:tab w:val="right" w:pos="9360"/>
        </w:tabs>
        <w:spacing w:after="0" w:line="240" w:lineRule="auto"/>
        <w:rPr>
          <w:rFonts w:asciiTheme="minorHAnsi" w:hAnsiTheme="minorHAnsi" w:cstheme="minorHAnsi"/>
          <w:b/>
          <w:bCs/>
        </w:rPr>
      </w:pPr>
      <w:r w:rsidRPr="00530A83">
        <w:rPr>
          <w:rFonts w:asciiTheme="minorHAnsi" w:hAnsiTheme="minorHAnsi" w:cstheme="minorHAnsi"/>
          <w:b/>
          <w:bCs/>
        </w:rPr>
        <w:t>Conclusion</w:t>
      </w:r>
    </w:p>
    <w:p w14:paraId="7CA28C0C" w14:textId="109CB33C" w:rsidR="00B54630" w:rsidRDefault="00B54630"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rPr>
      </w:pPr>
      <w:r w:rsidRPr="00B54630">
        <w:rPr>
          <w:rFonts w:asciiTheme="minorHAnsi" w:hAnsiTheme="minorHAnsi" w:cstheme="minorHAnsi"/>
        </w:rPr>
        <w:t>The United Kingdom stands at a moral and fiscal crossroads. Rising food insecurity demands urgent action, with millions struggling to afford meals. For families like the Johnsons, the question is not about national budgets but whether they can afford enough food each week. A phased, accountable reallocation of foreign aid offers the best path forward: it restores dignity to households, ensures parents need not choose between heating or eating, and preserves the UK’s credibility as a global partner. By scaling up proven programs now and restoring higher aid levels once fiscal and social stability return, the UK can show that compassion begins at home but does not end there.</w:t>
      </w:r>
    </w:p>
    <w:p w14:paraId="700BED68" w14:textId="77777777" w:rsidR="00B54630" w:rsidRDefault="00B54630"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rPr>
      </w:pPr>
    </w:p>
    <w:p w14:paraId="73C9BA35" w14:textId="77777777" w:rsidR="00D20BB6" w:rsidRDefault="00D20BB6"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p>
    <w:p w14:paraId="4A787B7C" w14:textId="77777777" w:rsidR="00B54630" w:rsidRDefault="00B54630"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p>
    <w:p w14:paraId="5115F679" w14:textId="77777777" w:rsidR="00B54630" w:rsidRDefault="00B54630"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p>
    <w:p w14:paraId="7857269E" w14:textId="77777777" w:rsidR="00B54630" w:rsidRDefault="00B54630"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p>
    <w:p w14:paraId="13A5D70B" w14:textId="77777777" w:rsidR="00B54630" w:rsidRDefault="00B54630"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p>
    <w:p w14:paraId="5570C3A8" w14:textId="77777777" w:rsidR="00B54630" w:rsidRDefault="00B54630"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p>
    <w:p w14:paraId="6F42E71B" w14:textId="77777777" w:rsidR="00B54630" w:rsidRDefault="00B54630"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p>
    <w:p w14:paraId="0C5356E1" w14:textId="77777777" w:rsidR="00B54630" w:rsidRDefault="00B54630"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p>
    <w:p w14:paraId="3CCBF423" w14:textId="77777777" w:rsidR="00B54630" w:rsidRDefault="00B54630"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p>
    <w:p w14:paraId="2985C4A7" w14:textId="77777777" w:rsidR="00D20BB6" w:rsidRDefault="00D20BB6"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p>
    <w:p w14:paraId="158DEC73" w14:textId="77777777" w:rsidR="00FA2D48" w:rsidRDefault="00FA2D48"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p>
    <w:p w14:paraId="31288B1C" w14:textId="77777777" w:rsidR="00FA2D48" w:rsidRDefault="00FA2D48"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p>
    <w:p w14:paraId="1011159A" w14:textId="77777777" w:rsidR="00C7625E" w:rsidRDefault="00C7625E"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p>
    <w:p w14:paraId="29D33CF4" w14:textId="77777777" w:rsidR="00C7625E" w:rsidRDefault="00C7625E"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p>
    <w:p w14:paraId="5DE3F626" w14:textId="77777777" w:rsidR="00C7625E" w:rsidRDefault="00C7625E"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p>
    <w:p w14:paraId="4473BEB2" w14:textId="77777777" w:rsidR="00C7625E" w:rsidRDefault="00C7625E"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p>
    <w:p w14:paraId="47C8A217" w14:textId="77777777" w:rsidR="00C7625E" w:rsidRDefault="00C7625E"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p>
    <w:p w14:paraId="368E50A5" w14:textId="77777777" w:rsidR="00C7625E" w:rsidRDefault="00C7625E"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p>
    <w:p w14:paraId="229DFF43" w14:textId="77777777" w:rsidR="00C7625E" w:rsidRDefault="00C7625E"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p>
    <w:p w14:paraId="6859B1C0" w14:textId="77777777" w:rsidR="00C7625E" w:rsidRDefault="00C7625E"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p>
    <w:p w14:paraId="33279E86" w14:textId="77777777" w:rsidR="00FA2D48" w:rsidRDefault="00FA2D48"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p>
    <w:p w14:paraId="257140E3" w14:textId="77777777" w:rsidR="00FA2D48" w:rsidRDefault="00FA2D48"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p>
    <w:p w14:paraId="2EDA4F11" w14:textId="77777777" w:rsidR="00FA2D48" w:rsidRDefault="00FA2D48"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p>
    <w:p w14:paraId="1C3D25E4" w14:textId="77777777" w:rsidR="00FA2D48" w:rsidRDefault="00FA2D48"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p>
    <w:p w14:paraId="5D715D78" w14:textId="77777777" w:rsidR="00FA2D48" w:rsidRDefault="00FA2D48"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p>
    <w:p w14:paraId="0D87A71D" w14:textId="6D069A7B" w:rsidR="008650A2" w:rsidRDefault="008650A2"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r w:rsidRPr="00361A87">
        <w:rPr>
          <w:rFonts w:asciiTheme="minorHAnsi" w:hAnsiTheme="minorHAnsi" w:cstheme="minorHAnsi"/>
          <w:b/>
          <w:sz w:val="24"/>
          <w:szCs w:val="24"/>
        </w:rPr>
        <w:lastRenderedPageBreak/>
        <w:t>APPENDIX</w:t>
      </w:r>
    </w:p>
    <w:p w14:paraId="285745EC" w14:textId="77777777" w:rsidR="00361A87" w:rsidRPr="00361A87" w:rsidRDefault="00361A87"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p>
    <w:p w14:paraId="1E7BFB3E" w14:textId="691B0E09" w:rsidR="008650A2" w:rsidRPr="0056621C" w:rsidRDefault="008650A2" w:rsidP="008650A2">
      <w:pPr>
        <w:pBdr>
          <w:top w:val="nil"/>
          <w:left w:val="nil"/>
          <w:bottom w:val="nil"/>
          <w:right w:val="nil"/>
          <w:between w:val="nil"/>
        </w:pBdr>
        <w:tabs>
          <w:tab w:val="center" w:pos="4680"/>
          <w:tab w:val="right" w:pos="9360"/>
        </w:tabs>
        <w:spacing w:after="0" w:line="240" w:lineRule="auto"/>
        <w:rPr>
          <w:rFonts w:asciiTheme="minorHAnsi" w:hAnsiTheme="minorHAnsi" w:cstheme="minorHAnsi"/>
          <w:b/>
        </w:rPr>
      </w:pPr>
      <w:r>
        <w:rPr>
          <w:rFonts w:asciiTheme="minorHAnsi" w:hAnsiTheme="minorHAnsi" w:cstheme="minorHAnsi"/>
          <w:b/>
        </w:rPr>
        <w:t xml:space="preserve">Attachment 1: </w:t>
      </w:r>
      <w:r w:rsidRPr="0056621C">
        <w:rPr>
          <w:rFonts w:asciiTheme="minorHAnsi" w:hAnsiTheme="minorHAnsi" w:cstheme="minorHAnsi"/>
          <w:b/>
        </w:rPr>
        <w:t>UK Public Finances and Economic Indicators 2013-2023</w:t>
      </w:r>
    </w:p>
    <w:tbl>
      <w:tblPr>
        <w:tblStyle w:val="TableGridLight"/>
        <w:tblW w:w="9462" w:type="dxa"/>
        <w:tblLook w:val="04A0" w:firstRow="1" w:lastRow="0" w:firstColumn="1" w:lastColumn="0" w:noHBand="0" w:noVBand="1"/>
      </w:tblPr>
      <w:tblGrid>
        <w:gridCol w:w="1219"/>
        <w:gridCol w:w="1982"/>
        <w:gridCol w:w="1801"/>
        <w:gridCol w:w="1801"/>
        <w:gridCol w:w="1384"/>
        <w:gridCol w:w="1275"/>
      </w:tblGrid>
      <w:tr w:rsidR="008650A2" w:rsidRPr="0056621C" w14:paraId="50C27916" w14:textId="77777777" w:rsidTr="00B54630">
        <w:trPr>
          <w:trHeight w:val="923"/>
        </w:trPr>
        <w:tc>
          <w:tcPr>
            <w:tcW w:w="1219" w:type="dxa"/>
          </w:tcPr>
          <w:p w14:paraId="15623325" w14:textId="77777777" w:rsidR="008650A2" w:rsidRPr="0056621C" w:rsidRDefault="008650A2" w:rsidP="0023797A">
            <w:pPr>
              <w:rPr>
                <w:b/>
                <w:bCs/>
              </w:rPr>
            </w:pPr>
            <w:r w:rsidRPr="0056621C">
              <w:rPr>
                <w:rFonts w:eastAsia="Times New Roman"/>
                <w:b/>
                <w:bCs/>
              </w:rPr>
              <w:t>Year</w:t>
            </w:r>
          </w:p>
        </w:tc>
        <w:tc>
          <w:tcPr>
            <w:tcW w:w="1982" w:type="dxa"/>
          </w:tcPr>
          <w:p w14:paraId="7350E010" w14:textId="77777777" w:rsidR="008650A2" w:rsidRPr="0056621C" w:rsidRDefault="008650A2" w:rsidP="0023797A">
            <w:pPr>
              <w:jc w:val="center"/>
              <w:rPr>
                <w:rFonts w:eastAsia="Times New Roman"/>
                <w:b/>
                <w:bCs/>
              </w:rPr>
            </w:pPr>
            <w:r w:rsidRPr="0056621C">
              <w:rPr>
                <w:rFonts w:eastAsia="Times New Roman"/>
                <w:b/>
                <w:bCs/>
              </w:rPr>
              <w:t>Gross National Income</w:t>
            </w:r>
          </w:p>
          <w:p w14:paraId="00B0CCEA" w14:textId="77777777" w:rsidR="008650A2" w:rsidRPr="0056621C" w:rsidRDefault="008650A2" w:rsidP="0023797A">
            <w:pPr>
              <w:jc w:val="center"/>
              <w:rPr>
                <w:b/>
                <w:bCs/>
              </w:rPr>
            </w:pPr>
            <w:r w:rsidRPr="0056621C">
              <w:rPr>
                <w:rFonts w:eastAsia="Times New Roman"/>
                <w:b/>
                <w:bCs/>
              </w:rPr>
              <w:t>(GNI, £ trillions)</w:t>
            </w:r>
          </w:p>
        </w:tc>
        <w:tc>
          <w:tcPr>
            <w:tcW w:w="1801" w:type="dxa"/>
          </w:tcPr>
          <w:p w14:paraId="19B1CD4E" w14:textId="77777777" w:rsidR="008650A2" w:rsidRPr="0056621C" w:rsidRDefault="008650A2" w:rsidP="0023797A">
            <w:pPr>
              <w:jc w:val="center"/>
              <w:rPr>
                <w:rFonts w:eastAsia="Times New Roman"/>
                <w:b/>
                <w:bCs/>
              </w:rPr>
            </w:pPr>
            <w:r w:rsidRPr="0056621C">
              <w:rPr>
                <w:rFonts w:eastAsia="Times New Roman"/>
                <w:b/>
                <w:bCs/>
              </w:rPr>
              <w:t>Government Revenues</w:t>
            </w:r>
          </w:p>
          <w:p w14:paraId="551DE7D4" w14:textId="77777777" w:rsidR="008650A2" w:rsidRPr="0056621C" w:rsidRDefault="008650A2" w:rsidP="0023797A">
            <w:pPr>
              <w:jc w:val="center"/>
              <w:rPr>
                <w:b/>
                <w:bCs/>
              </w:rPr>
            </w:pPr>
            <w:r w:rsidRPr="0056621C">
              <w:rPr>
                <w:rFonts w:eastAsia="Times New Roman"/>
                <w:b/>
                <w:bCs/>
              </w:rPr>
              <w:t>(£ billions)</w:t>
            </w:r>
          </w:p>
        </w:tc>
        <w:tc>
          <w:tcPr>
            <w:tcW w:w="1801" w:type="dxa"/>
          </w:tcPr>
          <w:p w14:paraId="775381B9" w14:textId="77777777" w:rsidR="008650A2" w:rsidRPr="0056621C" w:rsidRDefault="008650A2" w:rsidP="0023797A">
            <w:pPr>
              <w:jc w:val="center"/>
              <w:rPr>
                <w:rFonts w:eastAsia="Times New Roman"/>
                <w:b/>
                <w:bCs/>
              </w:rPr>
            </w:pPr>
            <w:r w:rsidRPr="0056621C">
              <w:rPr>
                <w:rFonts w:eastAsia="Times New Roman"/>
                <w:b/>
                <w:bCs/>
              </w:rPr>
              <w:t>Public Sector Spending</w:t>
            </w:r>
          </w:p>
          <w:p w14:paraId="59A4864C" w14:textId="77777777" w:rsidR="008650A2" w:rsidRPr="0056621C" w:rsidRDefault="008650A2" w:rsidP="0023797A">
            <w:pPr>
              <w:jc w:val="center"/>
              <w:rPr>
                <w:b/>
                <w:bCs/>
              </w:rPr>
            </w:pPr>
            <w:r w:rsidRPr="0056621C">
              <w:rPr>
                <w:rFonts w:eastAsia="Times New Roman"/>
                <w:b/>
                <w:bCs/>
              </w:rPr>
              <w:t>(£ billions)</w:t>
            </w:r>
          </w:p>
        </w:tc>
        <w:tc>
          <w:tcPr>
            <w:tcW w:w="1384" w:type="dxa"/>
          </w:tcPr>
          <w:p w14:paraId="17C107A0" w14:textId="77777777" w:rsidR="008650A2" w:rsidRPr="0056621C" w:rsidRDefault="008650A2" w:rsidP="0023797A">
            <w:pPr>
              <w:jc w:val="center"/>
              <w:rPr>
                <w:rFonts w:eastAsia="Times New Roman"/>
                <w:b/>
                <w:bCs/>
              </w:rPr>
            </w:pPr>
            <w:r w:rsidRPr="0056621C">
              <w:rPr>
                <w:rFonts w:eastAsia="Times New Roman"/>
                <w:b/>
                <w:bCs/>
              </w:rPr>
              <w:t>Fiscal Deficit</w:t>
            </w:r>
          </w:p>
          <w:p w14:paraId="634E3BD2" w14:textId="77777777" w:rsidR="008650A2" w:rsidRPr="0056621C" w:rsidRDefault="008650A2" w:rsidP="0023797A">
            <w:pPr>
              <w:jc w:val="center"/>
              <w:rPr>
                <w:b/>
                <w:bCs/>
              </w:rPr>
            </w:pPr>
            <w:r w:rsidRPr="0056621C">
              <w:rPr>
                <w:rFonts w:eastAsia="Times New Roman"/>
                <w:b/>
                <w:bCs/>
              </w:rPr>
              <w:t>(£ billions)</w:t>
            </w:r>
          </w:p>
        </w:tc>
        <w:tc>
          <w:tcPr>
            <w:tcW w:w="1275" w:type="dxa"/>
          </w:tcPr>
          <w:p w14:paraId="4B59D80E" w14:textId="77777777" w:rsidR="008650A2" w:rsidRPr="0056621C" w:rsidRDefault="008650A2" w:rsidP="0023797A">
            <w:pPr>
              <w:jc w:val="center"/>
              <w:rPr>
                <w:b/>
                <w:bCs/>
              </w:rPr>
            </w:pPr>
            <w:r w:rsidRPr="0056621C">
              <w:rPr>
                <w:rFonts w:eastAsia="Times New Roman"/>
                <w:b/>
                <w:bCs/>
              </w:rPr>
              <w:t>CPI Inflation (%)</w:t>
            </w:r>
          </w:p>
        </w:tc>
      </w:tr>
      <w:tr w:rsidR="008650A2" w:rsidRPr="0056621C" w14:paraId="4EF4C050" w14:textId="77777777" w:rsidTr="00B54630">
        <w:trPr>
          <w:trHeight w:val="280"/>
        </w:trPr>
        <w:tc>
          <w:tcPr>
            <w:tcW w:w="1219" w:type="dxa"/>
          </w:tcPr>
          <w:p w14:paraId="4FAC1F54" w14:textId="77777777" w:rsidR="008650A2" w:rsidRPr="0056621C" w:rsidRDefault="008650A2" w:rsidP="0023797A">
            <w:r w:rsidRPr="0056621C">
              <w:rPr>
                <w:rFonts w:eastAsia="Times New Roman"/>
              </w:rPr>
              <w:t>2013</w:t>
            </w:r>
          </w:p>
        </w:tc>
        <w:tc>
          <w:tcPr>
            <w:tcW w:w="1982" w:type="dxa"/>
          </w:tcPr>
          <w:p w14:paraId="193AA74B" w14:textId="77777777" w:rsidR="008650A2" w:rsidRPr="0056621C" w:rsidRDefault="008650A2" w:rsidP="0023797A">
            <w:pPr>
              <w:jc w:val="center"/>
            </w:pPr>
            <w:r w:rsidRPr="0056621C">
              <w:rPr>
                <w:rFonts w:eastAsia="Times New Roman"/>
              </w:rPr>
              <w:t>1.63</w:t>
            </w:r>
          </w:p>
        </w:tc>
        <w:tc>
          <w:tcPr>
            <w:tcW w:w="1801" w:type="dxa"/>
          </w:tcPr>
          <w:p w14:paraId="7A30B08C" w14:textId="77777777" w:rsidR="008650A2" w:rsidRPr="0056621C" w:rsidRDefault="008650A2" w:rsidP="0023797A">
            <w:pPr>
              <w:jc w:val="center"/>
            </w:pPr>
            <w:r w:rsidRPr="0056621C">
              <w:rPr>
                <w:rFonts w:eastAsia="Times New Roman"/>
              </w:rPr>
              <w:t>656</w:t>
            </w:r>
          </w:p>
        </w:tc>
        <w:tc>
          <w:tcPr>
            <w:tcW w:w="1801" w:type="dxa"/>
          </w:tcPr>
          <w:p w14:paraId="38F1F5ED" w14:textId="77777777" w:rsidR="008650A2" w:rsidRPr="0056621C" w:rsidRDefault="008650A2" w:rsidP="0023797A">
            <w:pPr>
              <w:jc w:val="center"/>
            </w:pPr>
            <w:r w:rsidRPr="0056621C">
              <w:rPr>
                <w:rFonts w:eastAsia="Times New Roman"/>
              </w:rPr>
              <w:t>760</w:t>
            </w:r>
          </w:p>
        </w:tc>
        <w:tc>
          <w:tcPr>
            <w:tcW w:w="1384" w:type="dxa"/>
          </w:tcPr>
          <w:p w14:paraId="357463BC" w14:textId="77777777" w:rsidR="008650A2" w:rsidRPr="0056621C" w:rsidRDefault="008650A2" w:rsidP="0023797A">
            <w:pPr>
              <w:jc w:val="center"/>
            </w:pPr>
            <w:r w:rsidRPr="0056621C">
              <w:rPr>
                <w:rFonts w:eastAsia="Times New Roman"/>
              </w:rPr>
              <w:t>104.5</w:t>
            </w:r>
          </w:p>
        </w:tc>
        <w:tc>
          <w:tcPr>
            <w:tcW w:w="1275" w:type="dxa"/>
          </w:tcPr>
          <w:p w14:paraId="4D22E695" w14:textId="77777777" w:rsidR="008650A2" w:rsidRPr="0056621C" w:rsidRDefault="008650A2" w:rsidP="0023797A">
            <w:pPr>
              <w:jc w:val="center"/>
            </w:pPr>
            <w:r w:rsidRPr="0056621C">
              <w:rPr>
                <w:rFonts w:eastAsia="Times New Roman"/>
              </w:rPr>
              <w:t>2.6</w:t>
            </w:r>
          </w:p>
        </w:tc>
      </w:tr>
      <w:tr w:rsidR="008650A2" w:rsidRPr="0056621C" w14:paraId="0F924E4B" w14:textId="77777777" w:rsidTr="00B54630">
        <w:trPr>
          <w:trHeight w:val="271"/>
        </w:trPr>
        <w:tc>
          <w:tcPr>
            <w:tcW w:w="1219" w:type="dxa"/>
          </w:tcPr>
          <w:p w14:paraId="1E82A344" w14:textId="77777777" w:rsidR="008650A2" w:rsidRPr="0056621C" w:rsidRDefault="008650A2" w:rsidP="0023797A">
            <w:r w:rsidRPr="0056621C">
              <w:rPr>
                <w:rFonts w:eastAsia="Times New Roman"/>
              </w:rPr>
              <w:t>2014</w:t>
            </w:r>
          </w:p>
        </w:tc>
        <w:tc>
          <w:tcPr>
            <w:tcW w:w="1982" w:type="dxa"/>
          </w:tcPr>
          <w:p w14:paraId="14BE3841" w14:textId="77777777" w:rsidR="008650A2" w:rsidRPr="0056621C" w:rsidRDefault="008650A2" w:rsidP="0023797A">
            <w:pPr>
              <w:jc w:val="center"/>
            </w:pPr>
            <w:r w:rsidRPr="0056621C">
              <w:rPr>
                <w:rFonts w:eastAsia="Times New Roman"/>
              </w:rPr>
              <w:t>1.72</w:t>
            </w:r>
          </w:p>
        </w:tc>
        <w:tc>
          <w:tcPr>
            <w:tcW w:w="1801" w:type="dxa"/>
          </w:tcPr>
          <w:p w14:paraId="6080D334" w14:textId="77777777" w:rsidR="008650A2" w:rsidRPr="0056621C" w:rsidRDefault="008650A2" w:rsidP="0023797A">
            <w:pPr>
              <w:jc w:val="center"/>
            </w:pPr>
            <w:r w:rsidRPr="0056621C">
              <w:rPr>
                <w:rFonts w:eastAsia="Times New Roman"/>
              </w:rPr>
              <w:t>680</w:t>
            </w:r>
          </w:p>
        </w:tc>
        <w:tc>
          <w:tcPr>
            <w:tcW w:w="1801" w:type="dxa"/>
          </w:tcPr>
          <w:p w14:paraId="49335791" w14:textId="77777777" w:rsidR="008650A2" w:rsidRPr="0056621C" w:rsidRDefault="008650A2" w:rsidP="0023797A">
            <w:pPr>
              <w:jc w:val="center"/>
            </w:pPr>
            <w:r w:rsidRPr="0056621C">
              <w:rPr>
                <w:rFonts w:eastAsia="Times New Roman"/>
              </w:rPr>
              <w:t>785</w:t>
            </w:r>
          </w:p>
        </w:tc>
        <w:tc>
          <w:tcPr>
            <w:tcW w:w="1384" w:type="dxa"/>
          </w:tcPr>
          <w:p w14:paraId="51B3422C" w14:textId="77777777" w:rsidR="008650A2" w:rsidRPr="0056621C" w:rsidRDefault="008650A2" w:rsidP="0023797A">
            <w:pPr>
              <w:jc w:val="center"/>
            </w:pPr>
            <w:r w:rsidRPr="0056621C">
              <w:rPr>
                <w:rFonts w:eastAsia="Times New Roman"/>
              </w:rPr>
              <w:t>105.0</w:t>
            </w:r>
          </w:p>
        </w:tc>
        <w:tc>
          <w:tcPr>
            <w:tcW w:w="1275" w:type="dxa"/>
          </w:tcPr>
          <w:p w14:paraId="64FE6C6C" w14:textId="77777777" w:rsidR="008650A2" w:rsidRPr="0056621C" w:rsidRDefault="008650A2" w:rsidP="0023797A">
            <w:pPr>
              <w:jc w:val="center"/>
            </w:pPr>
            <w:r w:rsidRPr="0056621C">
              <w:rPr>
                <w:rFonts w:eastAsia="Times New Roman"/>
              </w:rPr>
              <w:t>1.5</w:t>
            </w:r>
          </w:p>
        </w:tc>
      </w:tr>
      <w:tr w:rsidR="008650A2" w:rsidRPr="0056621C" w14:paraId="6C951AB5" w14:textId="77777777" w:rsidTr="00B54630">
        <w:trPr>
          <w:trHeight w:val="271"/>
        </w:trPr>
        <w:tc>
          <w:tcPr>
            <w:tcW w:w="1219" w:type="dxa"/>
          </w:tcPr>
          <w:p w14:paraId="7AD24BAA" w14:textId="77777777" w:rsidR="008650A2" w:rsidRPr="0056621C" w:rsidRDefault="008650A2" w:rsidP="0023797A">
            <w:r w:rsidRPr="0056621C">
              <w:rPr>
                <w:rFonts w:eastAsia="Times New Roman"/>
              </w:rPr>
              <w:t>2015</w:t>
            </w:r>
          </w:p>
        </w:tc>
        <w:tc>
          <w:tcPr>
            <w:tcW w:w="1982" w:type="dxa"/>
          </w:tcPr>
          <w:p w14:paraId="70ADB057" w14:textId="77777777" w:rsidR="008650A2" w:rsidRPr="0056621C" w:rsidRDefault="008650A2" w:rsidP="0023797A">
            <w:pPr>
              <w:jc w:val="center"/>
            </w:pPr>
            <w:r w:rsidRPr="0056621C">
              <w:rPr>
                <w:rFonts w:eastAsia="Times New Roman"/>
              </w:rPr>
              <w:t>1.81</w:t>
            </w:r>
          </w:p>
        </w:tc>
        <w:tc>
          <w:tcPr>
            <w:tcW w:w="1801" w:type="dxa"/>
          </w:tcPr>
          <w:p w14:paraId="5252F5E9" w14:textId="77777777" w:rsidR="008650A2" w:rsidRPr="0056621C" w:rsidRDefault="008650A2" w:rsidP="0023797A">
            <w:pPr>
              <w:jc w:val="center"/>
            </w:pPr>
            <w:r w:rsidRPr="0056621C">
              <w:rPr>
                <w:rFonts w:eastAsia="Times New Roman"/>
              </w:rPr>
              <w:t>704</w:t>
            </w:r>
          </w:p>
        </w:tc>
        <w:tc>
          <w:tcPr>
            <w:tcW w:w="1801" w:type="dxa"/>
          </w:tcPr>
          <w:p w14:paraId="53B0D2AC" w14:textId="77777777" w:rsidR="008650A2" w:rsidRPr="0056621C" w:rsidRDefault="008650A2" w:rsidP="0023797A">
            <w:pPr>
              <w:jc w:val="center"/>
            </w:pPr>
            <w:r w:rsidRPr="0056621C">
              <w:rPr>
                <w:rFonts w:eastAsia="Times New Roman"/>
              </w:rPr>
              <w:t>814</w:t>
            </w:r>
          </w:p>
        </w:tc>
        <w:tc>
          <w:tcPr>
            <w:tcW w:w="1384" w:type="dxa"/>
          </w:tcPr>
          <w:p w14:paraId="418EE0F5" w14:textId="77777777" w:rsidR="008650A2" w:rsidRPr="0056621C" w:rsidRDefault="008650A2" w:rsidP="0023797A">
            <w:pPr>
              <w:jc w:val="center"/>
            </w:pPr>
            <w:r w:rsidRPr="0056621C">
              <w:rPr>
                <w:rFonts w:eastAsia="Times New Roman"/>
              </w:rPr>
              <w:t>110.0</w:t>
            </w:r>
          </w:p>
        </w:tc>
        <w:tc>
          <w:tcPr>
            <w:tcW w:w="1275" w:type="dxa"/>
          </w:tcPr>
          <w:p w14:paraId="2158F3FE" w14:textId="77777777" w:rsidR="008650A2" w:rsidRPr="0056621C" w:rsidRDefault="008650A2" w:rsidP="0023797A">
            <w:pPr>
              <w:jc w:val="center"/>
            </w:pPr>
            <w:r w:rsidRPr="0056621C">
              <w:rPr>
                <w:rFonts w:eastAsia="Times New Roman"/>
              </w:rPr>
              <w:t>0.0</w:t>
            </w:r>
          </w:p>
        </w:tc>
      </w:tr>
      <w:tr w:rsidR="008650A2" w:rsidRPr="0056621C" w14:paraId="1F1459DB" w14:textId="77777777" w:rsidTr="00B54630">
        <w:trPr>
          <w:trHeight w:val="280"/>
        </w:trPr>
        <w:tc>
          <w:tcPr>
            <w:tcW w:w="1219" w:type="dxa"/>
          </w:tcPr>
          <w:p w14:paraId="2F2E7DE0" w14:textId="77777777" w:rsidR="008650A2" w:rsidRPr="0056621C" w:rsidRDefault="008650A2" w:rsidP="0023797A">
            <w:r w:rsidRPr="0056621C">
              <w:rPr>
                <w:rFonts w:eastAsia="Times New Roman"/>
              </w:rPr>
              <w:t>2016</w:t>
            </w:r>
          </w:p>
        </w:tc>
        <w:tc>
          <w:tcPr>
            <w:tcW w:w="1982" w:type="dxa"/>
          </w:tcPr>
          <w:p w14:paraId="259FD869" w14:textId="77777777" w:rsidR="008650A2" w:rsidRPr="0056621C" w:rsidRDefault="008650A2" w:rsidP="0023797A">
            <w:pPr>
              <w:jc w:val="center"/>
            </w:pPr>
            <w:r w:rsidRPr="0056621C">
              <w:rPr>
                <w:rFonts w:eastAsia="Times New Roman"/>
              </w:rPr>
              <w:t>1.88</w:t>
            </w:r>
          </w:p>
        </w:tc>
        <w:tc>
          <w:tcPr>
            <w:tcW w:w="1801" w:type="dxa"/>
          </w:tcPr>
          <w:p w14:paraId="003E0C6A" w14:textId="77777777" w:rsidR="008650A2" w:rsidRPr="0056621C" w:rsidRDefault="008650A2" w:rsidP="0023797A">
            <w:pPr>
              <w:jc w:val="center"/>
            </w:pPr>
            <w:r w:rsidRPr="0056621C">
              <w:rPr>
                <w:rFonts w:eastAsia="Times New Roman"/>
              </w:rPr>
              <w:t>730</w:t>
            </w:r>
          </w:p>
        </w:tc>
        <w:tc>
          <w:tcPr>
            <w:tcW w:w="1801" w:type="dxa"/>
          </w:tcPr>
          <w:p w14:paraId="676EF0EF" w14:textId="77777777" w:rsidR="008650A2" w:rsidRPr="0056621C" w:rsidRDefault="008650A2" w:rsidP="0023797A">
            <w:pPr>
              <w:jc w:val="center"/>
            </w:pPr>
            <w:r w:rsidRPr="0056621C">
              <w:rPr>
                <w:rFonts w:eastAsia="Times New Roman"/>
              </w:rPr>
              <w:t>841</w:t>
            </w:r>
          </w:p>
        </w:tc>
        <w:tc>
          <w:tcPr>
            <w:tcW w:w="1384" w:type="dxa"/>
          </w:tcPr>
          <w:p w14:paraId="261DE408" w14:textId="77777777" w:rsidR="008650A2" w:rsidRPr="0056621C" w:rsidRDefault="008650A2" w:rsidP="0023797A">
            <w:pPr>
              <w:jc w:val="center"/>
            </w:pPr>
            <w:r w:rsidRPr="0056621C">
              <w:rPr>
                <w:rFonts w:eastAsia="Times New Roman"/>
              </w:rPr>
              <w:t>111.0</w:t>
            </w:r>
          </w:p>
        </w:tc>
        <w:tc>
          <w:tcPr>
            <w:tcW w:w="1275" w:type="dxa"/>
          </w:tcPr>
          <w:p w14:paraId="63C1DBA6" w14:textId="77777777" w:rsidR="008650A2" w:rsidRPr="0056621C" w:rsidRDefault="008650A2" w:rsidP="0023797A">
            <w:pPr>
              <w:jc w:val="center"/>
            </w:pPr>
            <w:r w:rsidRPr="0056621C">
              <w:rPr>
                <w:rFonts w:eastAsia="Times New Roman"/>
              </w:rPr>
              <w:t>0.7</w:t>
            </w:r>
          </w:p>
        </w:tc>
      </w:tr>
      <w:tr w:rsidR="008650A2" w:rsidRPr="0056621C" w14:paraId="0B543A4C" w14:textId="77777777" w:rsidTr="00B54630">
        <w:trPr>
          <w:trHeight w:val="271"/>
        </w:trPr>
        <w:tc>
          <w:tcPr>
            <w:tcW w:w="1219" w:type="dxa"/>
          </w:tcPr>
          <w:p w14:paraId="6AC7E545" w14:textId="77777777" w:rsidR="008650A2" w:rsidRPr="0056621C" w:rsidRDefault="008650A2" w:rsidP="0023797A">
            <w:r w:rsidRPr="0056621C">
              <w:rPr>
                <w:rFonts w:eastAsia="Times New Roman"/>
              </w:rPr>
              <w:t>2017</w:t>
            </w:r>
          </w:p>
        </w:tc>
        <w:tc>
          <w:tcPr>
            <w:tcW w:w="1982" w:type="dxa"/>
          </w:tcPr>
          <w:p w14:paraId="11B3898C" w14:textId="77777777" w:rsidR="008650A2" w:rsidRPr="0056621C" w:rsidRDefault="008650A2" w:rsidP="0023797A">
            <w:pPr>
              <w:jc w:val="center"/>
            </w:pPr>
            <w:r w:rsidRPr="0056621C">
              <w:rPr>
                <w:rFonts w:eastAsia="Times New Roman"/>
              </w:rPr>
              <w:t>2.00</w:t>
            </w:r>
          </w:p>
        </w:tc>
        <w:tc>
          <w:tcPr>
            <w:tcW w:w="1801" w:type="dxa"/>
          </w:tcPr>
          <w:p w14:paraId="2FB06E8B" w14:textId="77777777" w:rsidR="008650A2" w:rsidRPr="0056621C" w:rsidRDefault="008650A2" w:rsidP="0023797A">
            <w:pPr>
              <w:jc w:val="center"/>
            </w:pPr>
            <w:r w:rsidRPr="0056621C">
              <w:rPr>
                <w:rFonts w:eastAsia="Times New Roman"/>
              </w:rPr>
              <w:t>760</w:t>
            </w:r>
          </w:p>
        </w:tc>
        <w:tc>
          <w:tcPr>
            <w:tcW w:w="1801" w:type="dxa"/>
          </w:tcPr>
          <w:p w14:paraId="1E8D8431" w14:textId="77777777" w:rsidR="008650A2" w:rsidRPr="0056621C" w:rsidRDefault="008650A2" w:rsidP="0023797A">
            <w:pPr>
              <w:jc w:val="center"/>
            </w:pPr>
            <w:r w:rsidRPr="0056621C">
              <w:rPr>
                <w:rFonts w:eastAsia="Times New Roman"/>
              </w:rPr>
              <w:t>870</w:t>
            </w:r>
          </w:p>
        </w:tc>
        <w:tc>
          <w:tcPr>
            <w:tcW w:w="1384" w:type="dxa"/>
          </w:tcPr>
          <w:p w14:paraId="36152065" w14:textId="77777777" w:rsidR="008650A2" w:rsidRPr="0056621C" w:rsidRDefault="008650A2" w:rsidP="0023797A">
            <w:pPr>
              <w:jc w:val="center"/>
            </w:pPr>
            <w:r w:rsidRPr="0056621C">
              <w:rPr>
                <w:rFonts w:eastAsia="Times New Roman"/>
              </w:rPr>
              <w:t>110.0</w:t>
            </w:r>
          </w:p>
        </w:tc>
        <w:tc>
          <w:tcPr>
            <w:tcW w:w="1275" w:type="dxa"/>
          </w:tcPr>
          <w:p w14:paraId="63889F4D" w14:textId="77777777" w:rsidR="008650A2" w:rsidRPr="0056621C" w:rsidRDefault="008650A2" w:rsidP="0023797A">
            <w:pPr>
              <w:jc w:val="center"/>
            </w:pPr>
            <w:r w:rsidRPr="0056621C">
              <w:rPr>
                <w:rFonts w:eastAsia="Times New Roman"/>
              </w:rPr>
              <w:t>2.7</w:t>
            </w:r>
          </w:p>
        </w:tc>
      </w:tr>
      <w:tr w:rsidR="008650A2" w:rsidRPr="0056621C" w14:paraId="33BD2C7A" w14:textId="77777777" w:rsidTr="00B54630">
        <w:trPr>
          <w:trHeight w:val="271"/>
        </w:trPr>
        <w:tc>
          <w:tcPr>
            <w:tcW w:w="1219" w:type="dxa"/>
          </w:tcPr>
          <w:p w14:paraId="394D299C" w14:textId="77777777" w:rsidR="008650A2" w:rsidRPr="0056621C" w:rsidRDefault="008650A2" w:rsidP="0023797A">
            <w:r w:rsidRPr="0056621C">
              <w:rPr>
                <w:rFonts w:eastAsia="Times New Roman"/>
              </w:rPr>
              <w:t>2018</w:t>
            </w:r>
          </w:p>
        </w:tc>
        <w:tc>
          <w:tcPr>
            <w:tcW w:w="1982" w:type="dxa"/>
          </w:tcPr>
          <w:p w14:paraId="604221C2" w14:textId="77777777" w:rsidR="008650A2" w:rsidRPr="0056621C" w:rsidRDefault="008650A2" w:rsidP="0023797A">
            <w:pPr>
              <w:jc w:val="center"/>
            </w:pPr>
            <w:r w:rsidRPr="0056621C">
              <w:rPr>
                <w:rFonts w:eastAsia="Times New Roman"/>
              </w:rPr>
              <w:t>2.10</w:t>
            </w:r>
          </w:p>
        </w:tc>
        <w:tc>
          <w:tcPr>
            <w:tcW w:w="1801" w:type="dxa"/>
          </w:tcPr>
          <w:p w14:paraId="6415F261" w14:textId="77777777" w:rsidR="008650A2" w:rsidRPr="0056621C" w:rsidRDefault="008650A2" w:rsidP="0023797A">
            <w:pPr>
              <w:jc w:val="center"/>
            </w:pPr>
            <w:r w:rsidRPr="0056621C">
              <w:rPr>
                <w:rFonts w:eastAsia="Times New Roman"/>
              </w:rPr>
              <w:t>787</w:t>
            </w:r>
          </w:p>
        </w:tc>
        <w:tc>
          <w:tcPr>
            <w:tcW w:w="1801" w:type="dxa"/>
          </w:tcPr>
          <w:p w14:paraId="39006A73" w14:textId="77777777" w:rsidR="008650A2" w:rsidRPr="0056621C" w:rsidRDefault="008650A2" w:rsidP="0023797A">
            <w:pPr>
              <w:jc w:val="center"/>
            </w:pPr>
            <w:r w:rsidRPr="0056621C">
              <w:rPr>
                <w:rFonts w:eastAsia="Times New Roman"/>
              </w:rPr>
              <w:t>839</w:t>
            </w:r>
          </w:p>
        </w:tc>
        <w:tc>
          <w:tcPr>
            <w:tcW w:w="1384" w:type="dxa"/>
          </w:tcPr>
          <w:p w14:paraId="6000973D" w14:textId="77777777" w:rsidR="008650A2" w:rsidRPr="0056621C" w:rsidRDefault="008650A2" w:rsidP="0023797A">
            <w:pPr>
              <w:jc w:val="center"/>
            </w:pPr>
            <w:r w:rsidRPr="0056621C">
              <w:rPr>
                <w:rFonts w:eastAsia="Times New Roman"/>
              </w:rPr>
              <w:t>52.0</w:t>
            </w:r>
          </w:p>
        </w:tc>
        <w:tc>
          <w:tcPr>
            <w:tcW w:w="1275" w:type="dxa"/>
          </w:tcPr>
          <w:p w14:paraId="11B6FAB8" w14:textId="77777777" w:rsidR="008650A2" w:rsidRPr="0056621C" w:rsidRDefault="008650A2" w:rsidP="0023797A">
            <w:pPr>
              <w:jc w:val="center"/>
            </w:pPr>
            <w:r w:rsidRPr="0056621C">
              <w:rPr>
                <w:rFonts w:eastAsia="Times New Roman"/>
              </w:rPr>
              <w:t>2.5</w:t>
            </w:r>
          </w:p>
        </w:tc>
      </w:tr>
      <w:tr w:rsidR="008650A2" w:rsidRPr="0056621C" w14:paraId="073BB11F" w14:textId="77777777" w:rsidTr="00B54630">
        <w:trPr>
          <w:trHeight w:val="280"/>
        </w:trPr>
        <w:tc>
          <w:tcPr>
            <w:tcW w:w="1219" w:type="dxa"/>
          </w:tcPr>
          <w:p w14:paraId="7B6010AB" w14:textId="77777777" w:rsidR="008650A2" w:rsidRPr="0056621C" w:rsidRDefault="008650A2" w:rsidP="0023797A">
            <w:r w:rsidRPr="0056621C">
              <w:rPr>
                <w:rFonts w:eastAsia="Times New Roman"/>
              </w:rPr>
              <w:t>2019</w:t>
            </w:r>
          </w:p>
        </w:tc>
        <w:tc>
          <w:tcPr>
            <w:tcW w:w="1982" w:type="dxa"/>
          </w:tcPr>
          <w:p w14:paraId="2F6C73D9" w14:textId="77777777" w:rsidR="008650A2" w:rsidRPr="0056621C" w:rsidRDefault="008650A2" w:rsidP="0023797A">
            <w:pPr>
              <w:jc w:val="center"/>
            </w:pPr>
            <w:r w:rsidRPr="0056621C">
              <w:rPr>
                <w:rFonts w:eastAsia="Times New Roman"/>
              </w:rPr>
              <w:t>2.17</w:t>
            </w:r>
          </w:p>
        </w:tc>
        <w:tc>
          <w:tcPr>
            <w:tcW w:w="1801" w:type="dxa"/>
          </w:tcPr>
          <w:p w14:paraId="6EA50BE5" w14:textId="77777777" w:rsidR="008650A2" w:rsidRPr="0056621C" w:rsidRDefault="008650A2" w:rsidP="0023797A">
            <w:pPr>
              <w:jc w:val="center"/>
            </w:pPr>
            <w:r w:rsidRPr="0056621C">
              <w:rPr>
                <w:rFonts w:eastAsia="Times New Roman"/>
              </w:rPr>
              <w:t>811</w:t>
            </w:r>
          </w:p>
        </w:tc>
        <w:tc>
          <w:tcPr>
            <w:tcW w:w="1801" w:type="dxa"/>
          </w:tcPr>
          <w:p w14:paraId="4CC635A5" w14:textId="77777777" w:rsidR="008650A2" w:rsidRPr="0056621C" w:rsidRDefault="008650A2" w:rsidP="0023797A">
            <w:pPr>
              <w:jc w:val="center"/>
            </w:pPr>
            <w:r w:rsidRPr="0056621C">
              <w:rPr>
                <w:rFonts w:eastAsia="Times New Roman"/>
              </w:rPr>
              <w:t>857</w:t>
            </w:r>
          </w:p>
        </w:tc>
        <w:tc>
          <w:tcPr>
            <w:tcW w:w="1384" w:type="dxa"/>
          </w:tcPr>
          <w:p w14:paraId="6B04D2AE" w14:textId="77777777" w:rsidR="008650A2" w:rsidRPr="0056621C" w:rsidRDefault="008650A2" w:rsidP="0023797A">
            <w:pPr>
              <w:jc w:val="center"/>
            </w:pPr>
            <w:r w:rsidRPr="0056621C">
              <w:rPr>
                <w:rFonts w:eastAsia="Times New Roman"/>
              </w:rPr>
              <w:t>46.0</w:t>
            </w:r>
          </w:p>
        </w:tc>
        <w:tc>
          <w:tcPr>
            <w:tcW w:w="1275" w:type="dxa"/>
          </w:tcPr>
          <w:p w14:paraId="331351F3" w14:textId="77777777" w:rsidR="008650A2" w:rsidRPr="0056621C" w:rsidRDefault="008650A2" w:rsidP="0023797A">
            <w:pPr>
              <w:jc w:val="center"/>
            </w:pPr>
            <w:r w:rsidRPr="0056621C">
              <w:rPr>
                <w:rFonts w:eastAsia="Times New Roman"/>
              </w:rPr>
              <w:t>1.8</w:t>
            </w:r>
          </w:p>
        </w:tc>
      </w:tr>
      <w:tr w:rsidR="008650A2" w:rsidRPr="0056621C" w14:paraId="3C37330E" w14:textId="77777777" w:rsidTr="00B54630">
        <w:trPr>
          <w:trHeight w:val="271"/>
        </w:trPr>
        <w:tc>
          <w:tcPr>
            <w:tcW w:w="1219" w:type="dxa"/>
          </w:tcPr>
          <w:p w14:paraId="18069D93" w14:textId="77777777" w:rsidR="008650A2" w:rsidRPr="0056621C" w:rsidRDefault="008650A2" w:rsidP="0023797A">
            <w:r w:rsidRPr="0056621C">
              <w:rPr>
                <w:rFonts w:eastAsia="Times New Roman"/>
              </w:rPr>
              <w:t>2020</w:t>
            </w:r>
          </w:p>
        </w:tc>
        <w:tc>
          <w:tcPr>
            <w:tcW w:w="1982" w:type="dxa"/>
          </w:tcPr>
          <w:p w14:paraId="50D7C36E" w14:textId="77777777" w:rsidR="008650A2" w:rsidRPr="0056621C" w:rsidRDefault="008650A2" w:rsidP="0023797A">
            <w:pPr>
              <w:jc w:val="center"/>
            </w:pPr>
            <w:r w:rsidRPr="0056621C">
              <w:rPr>
                <w:rFonts w:eastAsia="Times New Roman"/>
              </w:rPr>
              <w:t>2.26</w:t>
            </w:r>
          </w:p>
        </w:tc>
        <w:tc>
          <w:tcPr>
            <w:tcW w:w="1801" w:type="dxa"/>
          </w:tcPr>
          <w:p w14:paraId="00712131" w14:textId="77777777" w:rsidR="008650A2" w:rsidRPr="0056621C" w:rsidRDefault="008650A2" w:rsidP="0023797A">
            <w:pPr>
              <w:jc w:val="center"/>
            </w:pPr>
            <w:r w:rsidRPr="0056621C">
              <w:rPr>
                <w:rFonts w:eastAsia="Times New Roman"/>
              </w:rPr>
              <w:t>793</w:t>
            </w:r>
          </w:p>
        </w:tc>
        <w:tc>
          <w:tcPr>
            <w:tcW w:w="1801" w:type="dxa"/>
          </w:tcPr>
          <w:p w14:paraId="0F12FA31" w14:textId="77777777" w:rsidR="008650A2" w:rsidRPr="0056621C" w:rsidRDefault="008650A2" w:rsidP="0023797A">
            <w:pPr>
              <w:jc w:val="center"/>
            </w:pPr>
            <w:r w:rsidRPr="0056621C">
              <w:rPr>
                <w:rFonts w:eastAsia="Times New Roman"/>
              </w:rPr>
              <w:t>1,066</w:t>
            </w:r>
          </w:p>
        </w:tc>
        <w:tc>
          <w:tcPr>
            <w:tcW w:w="1384" w:type="dxa"/>
          </w:tcPr>
          <w:p w14:paraId="6614F5C7" w14:textId="77777777" w:rsidR="008650A2" w:rsidRPr="0056621C" w:rsidRDefault="008650A2" w:rsidP="0023797A">
            <w:pPr>
              <w:jc w:val="center"/>
            </w:pPr>
            <w:r w:rsidRPr="0056621C">
              <w:rPr>
                <w:rFonts w:eastAsia="Times New Roman"/>
              </w:rPr>
              <w:t>273.0</w:t>
            </w:r>
          </w:p>
        </w:tc>
        <w:tc>
          <w:tcPr>
            <w:tcW w:w="1275" w:type="dxa"/>
          </w:tcPr>
          <w:p w14:paraId="4D25BFAD" w14:textId="77777777" w:rsidR="008650A2" w:rsidRPr="0056621C" w:rsidRDefault="008650A2" w:rsidP="0023797A">
            <w:pPr>
              <w:jc w:val="center"/>
            </w:pPr>
            <w:r w:rsidRPr="0056621C">
              <w:rPr>
                <w:rFonts w:eastAsia="Times New Roman"/>
              </w:rPr>
              <w:t>0.9</w:t>
            </w:r>
          </w:p>
        </w:tc>
      </w:tr>
      <w:tr w:rsidR="008650A2" w:rsidRPr="0056621C" w14:paraId="7EFB5861" w14:textId="77777777" w:rsidTr="00B54630">
        <w:trPr>
          <w:trHeight w:val="271"/>
        </w:trPr>
        <w:tc>
          <w:tcPr>
            <w:tcW w:w="1219" w:type="dxa"/>
          </w:tcPr>
          <w:p w14:paraId="2CAE6672" w14:textId="77777777" w:rsidR="008650A2" w:rsidRPr="0056621C" w:rsidRDefault="008650A2" w:rsidP="0023797A">
            <w:r w:rsidRPr="0056621C">
              <w:rPr>
                <w:rFonts w:eastAsia="Times New Roman"/>
              </w:rPr>
              <w:t>2021</w:t>
            </w:r>
          </w:p>
        </w:tc>
        <w:tc>
          <w:tcPr>
            <w:tcW w:w="1982" w:type="dxa"/>
          </w:tcPr>
          <w:p w14:paraId="399CEC65" w14:textId="77777777" w:rsidR="008650A2" w:rsidRPr="0056621C" w:rsidRDefault="008650A2" w:rsidP="0023797A">
            <w:pPr>
              <w:jc w:val="center"/>
            </w:pPr>
            <w:r w:rsidRPr="0056621C">
              <w:rPr>
                <w:rFonts w:eastAsia="Times New Roman"/>
              </w:rPr>
              <w:t>2.38</w:t>
            </w:r>
          </w:p>
        </w:tc>
        <w:tc>
          <w:tcPr>
            <w:tcW w:w="1801" w:type="dxa"/>
          </w:tcPr>
          <w:p w14:paraId="5425B562" w14:textId="77777777" w:rsidR="008650A2" w:rsidRPr="0056621C" w:rsidRDefault="008650A2" w:rsidP="0023797A">
            <w:pPr>
              <w:jc w:val="center"/>
            </w:pPr>
            <w:r w:rsidRPr="0056621C">
              <w:rPr>
                <w:rFonts w:eastAsia="Times New Roman"/>
              </w:rPr>
              <w:t>889</w:t>
            </w:r>
          </w:p>
        </w:tc>
        <w:tc>
          <w:tcPr>
            <w:tcW w:w="1801" w:type="dxa"/>
          </w:tcPr>
          <w:p w14:paraId="45AC5082" w14:textId="77777777" w:rsidR="008650A2" w:rsidRPr="0056621C" w:rsidRDefault="008650A2" w:rsidP="0023797A">
            <w:pPr>
              <w:jc w:val="center"/>
            </w:pPr>
            <w:r w:rsidRPr="0056621C">
              <w:rPr>
                <w:rFonts w:eastAsia="Times New Roman"/>
              </w:rPr>
              <w:t>1,031</w:t>
            </w:r>
          </w:p>
        </w:tc>
        <w:tc>
          <w:tcPr>
            <w:tcW w:w="1384" w:type="dxa"/>
          </w:tcPr>
          <w:p w14:paraId="7E99783E" w14:textId="77777777" w:rsidR="008650A2" w:rsidRPr="0056621C" w:rsidRDefault="008650A2" w:rsidP="0023797A">
            <w:pPr>
              <w:jc w:val="center"/>
            </w:pPr>
            <w:r w:rsidRPr="0056621C">
              <w:rPr>
                <w:rFonts w:eastAsia="Times New Roman"/>
              </w:rPr>
              <w:t>142.0</w:t>
            </w:r>
          </w:p>
        </w:tc>
        <w:tc>
          <w:tcPr>
            <w:tcW w:w="1275" w:type="dxa"/>
          </w:tcPr>
          <w:p w14:paraId="60A6EDBD" w14:textId="77777777" w:rsidR="008650A2" w:rsidRPr="0056621C" w:rsidRDefault="008650A2" w:rsidP="0023797A">
            <w:pPr>
              <w:jc w:val="center"/>
            </w:pPr>
            <w:r w:rsidRPr="0056621C">
              <w:rPr>
                <w:rFonts w:eastAsia="Times New Roman"/>
              </w:rPr>
              <w:t>2.6</w:t>
            </w:r>
          </w:p>
        </w:tc>
      </w:tr>
      <w:tr w:rsidR="008650A2" w:rsidRPr="0056621C" w14:paraId="09D2BFD3" w14:textId="77777777" w:rsidTr="00B54630">
        <w:trPr>
          <w:trHeight w:val="271"/>
        </w:trPr>
        <w:tc>
          <w:tcPr>
            <w:tcW w:w="1219" w:type="dxa"/>
          </w:tcPr>
          <w:p w14:paraId="0B7A7096" w14:textId="77777777" w:rsidR="008650A2" w:rsidRPr="0056621C" w:rsidRDefault="008650A2" w:rsidP="0023797A">
            <w:r w:rsidRPr="0056621C">
              <w:rPr>
                <w:rFonts w:eastAsia="Times New Roman"/>
              </w:rPr>
              <w:t>2022</w:t>
            </w:r>
          </w:p>
        </w:tc>
        <w:tc>
          <w:tcPr>
            <w:tcW w:w="1982" w:type="dxa"/>
          </w:tcPr>
          <w:p w14:paraId="733DDAF8" w14:textId="77777777" w:rsidR="008650A2" w:rsidRPr="0056621C" w:rsidRDefault="008650A2" w:rsidP="0023797A">
            <w:pPr>
              <w:jc w:val="center"/>
            </w:pPr>
            <w:r w:rsidRPr="0056621C">
              <w:rPr>
                <w:rFonts w:eastAsia="Times New Roman"/>
              </w:rPr>
              <w:t>2.51</w:t>
            </w:r>
          </w:p>
        </w:tc>
        <w:tc>
          <w:tcPr>
            <w:tcW w:w="1801" w:type="dxa"/>
          </w:tcPr>
          <w:p w14:paraId="270649F1" w14:textId="77777777" w:rsidR="008650A2" w:rsidRPr="0056621C" w:rsidRDefault="008650A2" w:rsidP="0023797A">
            <w:pPr>
              <w:jc w:val="center"/>
            </w:pPr>
            <w:r w:rsidRPr="0056621C">
              <w:rPr>
                <w:rFonts w:eastAsia="Times New Roman"/>
              </w:rPr>
              <w:t>1,015</w:t>
            </w:r>
          </w:p>
        </w:tc>
        <w:tc>
          <w:tcPr>
            <w:tcW w:w="1801" w:type="dxa"/>
          </w:tcPr>
          <w:p w14:paraId="374F611E" w14:textId="77777777" w:rsidR="008650A2" w:rsidRPr="0056621C" w:rsidRDefault="008650A2" w:rsidP="0023797A">
            <w:pPr>
              <w:jc w:val="center"/>
            </w:pPr>
            <w:r w:rsidRPr="0056621C">
              <w:rPr>
                <w:rFonts w:eastAsia="Times New Roman"/>
              </w:rPr>
              <w:t>1,171</w:t>
            </w:r>
          </w:p>
        </w:tc>
        <w:tc>
          <w:tcPr>
            <w:tcW w:w="1384" w:type="dxa"/>
          </w:tcPr>
          <w:p w14:paraId="7B4D8912" w14:textId="77777777" w:rsidR="008650A2" w:rsidRPr="0056621C" w:rsidRDefault="008650A2" w:rsidP="0023797A">
            <w:pPr>
              <w:jc w:val="center"/>
            </w:pPr>
            <w:r w:rsidRPr="0056621C">
              <w:rPr>
                <w:rFonts w:eastAsia="Times New Roman"/>
              </w:rPr>
              <w:t>156.0</w:t>
            </w:r>
          </w:p>
        </w:tc>
        <w:tc>
          <w:tcPr>
            <w:tcW w:w="1275" w:type="dxa"/>
          </w:tcPr>
          <w:p w14:paraId="68907B30" w14:textId="77777777" w:rsidR="008650A2" w:rsidRPr="0056621C" w:rsidRDefault="008650A2" w:rsidP="0023797A">
            <w:pPr>
              <w:jc w:val="center"/>
            </w:pPr>
            <w:r w:rsidRPr="0056621C">
              <w:rPr>
                <w:rFonts w:eastAsia="Times New Roman"/>
              </w:rPr>
              <w:t>9.1</w:t>
            </w:r>
          </w:p>
        </w:tc>
      </w:tr>
      <w:tr w:rsidR="008650A2" w:rsidRPr="0056621C" w14:paraId="47EDE58F" w14:textId="77777777" w:rsidTr="00B54630">
        <w:trPr>
          <w:trHeight w:val="280"/>
        </w:trPr>
        <w:tc>
          <w:tcPr>
            <w:tcW w:w="1219" w:type="dxa"/>
          </w:tcPr>
          <w:p w14:paraId="7515BDE4" w14:textId="77777777" w:rsidR="008650A2" w:rsidRPr="0056621C" w:rsidRDefault="008650A2" w:rsidP="0023797A">
            <w:r w:rsidRPr="0056621C">
              <w:rPr>
                <w:rFonts w:eastAsia="Times New Roman"/>
              </w:rPr>
              <w:t>2023</w:t>
            </w:r>
          </w:p>
        </w:tc>
        <w:tc>
          <w:tcPr>
            <w:tcW w:w="1982" w:type="dxa"/>
          </w:tcPr>
          <w:p w14:paraId="5E22D587" w14:textId="77777777" w:rsidR="008650A2" w:rsidRPr="0056621C" w:rsidRDefault="008650A2" w:rsidP="0023797A">
            <w:pPr>
              <w:jc w:val="center"/>
            </w:pPr>
            <w:r w:rsidRPr="0056621C">
              <w:rPr>
                <w:rFonts w:eastAsia="Times New Roman"/>
              </w:rPr>
              <w:t>2.65</w:t>
            </w:r>
          </w:p>
        </w:tc>
        <w:tc>
          <w:tcPr>
            <w:tcW w:w="1801" w:type="dxa"/>
          </w:tcPr>
          <w:p w14:paraId="79668610" w14:textId="77777777" w:rsidR="008650A2" w:rsidRPr="0056621C" w:rsidRDefault="008650A2" w:rsidP="0023797A">
            <w:pPr>
              <w:jc w:val="center"/>
            </w:pPr>
            <w:r w:rsidRPr="0056621C">
              <w:rPr>
                <w:rFonts w:eastAsia="Times New Roman"/>
              </w:rPr>
              <w:t>1,098</w:t>
            </w:r>
          </w:p>
        </w:tc>
        <w:tc>
          <w:tcPr>
            <w:tcW w:w="1801" w:type="dxa"/>
          </w:tcPr>
          <w:p w14:paraId="6D3214D6" w14:textId="77777777" w:rsidR="008650A2" w:rsidRPr="0056621C" w:rsidRDefault="008650A2" w:rsidP="0023797A">
            <w:pPr>
              <w:jc w:val="center"/>
            </w:pPr>
            <w:r w:rsidRPr="0056621C">
              <w:rPr>
                <w:rFonts w:eastAsia="Times New Roman"/>
              </w:rPr>
              <w:t>1,230</w:t>
            </w:r>
          </w:p>
        </w:tc>
        <w:tc>
          <w:tcPr>
            <w:tcW w:w="1384" w:type="dxa"/>
          </w:tcPr>
          <w:p w14:paraId="35564DDA" w14:textId="77777777" w:rsidR="008650A2" w:rsidRPr="0056621C" w:rsidRDefault="008650A2" w:rsidP="0023797A">
            <w:pPr>
              <w:jc w:val="center"/>
            </w:pPr>
            <w:r w:rsidRPr="0056621C">
              <w:rPr>
                <w:rFonts w:eastAsia="Times New Roman"/>
              </w:rPr>
              <w:t>131.0</w:t>
            </w:r>
          </w:p>
        </w:tc>
        <w:tc>
          <w:tcPr>
            <w:tcW w:w="1275" w:type="dxa"/>
          </w:tcPr>
          <w:p w14:paraId="4AF584A1" w14:textId="77777777" w:rsidR="008650A2" w:rsidRPr="0056621C" w:rsidRDefault="008650A2" w:rsidP="0023797A">
            <w:pPr>
              <w:jc w:val="center"/>
            </w:pPr>
            <w:r w:rsidRPr="0056621C">
              <w:rPr>
                <w:rFonts w:eastAsia="Times New Roman"/>
              </w:rPr>
              <w:t>7.9</w:t>
            </w:r>
          </w:p>
        </w:tc>
      </w:tr>
    </w:tbl>
    <w:p w14:paraId="0C8C8D52" w14:textId="77777777" w:rsidR="008650A2" w:rsidRPr="0056621C" w:rsidRDefault="008650A2" w:rsidP="008650A2">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56621C">
        <w:rPr>
          <w:rFonts w:asciiTheme="minorHAnsi" w:hAnsiTheme="minorHAnsi" w:cstheme="minorHAnsi"/>
          <w:b/>
          <w:bCs/>
        </w:rPr>
        <w:t>Sources:</w:t>
      </w:r>
      <w:r w:rsidRPr="0056621C">
        <w:rPr>
          <w:rFonts w:asciiTheme="minorHAnsi" w:hAnsiTheme="minorHAnsi" w:cstheme="minorHAnsi"/>
          <w:bCs/>
        </w:rPr>
        <w:t xml:space="preserve"> Office for Budget Responsibility; Office for National Statistics (</w:t>
      </w:r>
      <w:r w:rsidRPr="0056621C">
        <w:rPr>
          <w:rFonts w:asciiTheme="minorHAnsi" w:hAnsiTheme="minorHAnsi" w:cstheme="minorHAnsi"/>
          <w:bCs/>
          <w:i/>
          <w:iCs/>
        </w:rPr>
        <w:t>UK National Accounts: The Blue Book, 2023</w:t>
      </w:r>
      <w:r w:rsidRPr="0056621C">
        <w:rPr>
          <w:rFonts w:asciiTheme="minorHAnsi" w:hAnsiTheme="minorHAnsi" w:cstheme="minorHAnsi"/>
          <w:bCs/>
        </w:rPr>
        <w:t xml:space="preserve">; </w:t>
      </w:r>
      <w:r w:rsidRPr="0056621C">
        <w:rPr>
          <w:rFonts w:asciiTheme="minorHAnsi" w:hAnsiTheme="minorHAnsi" w:cstheme="minorHAnsi"/>
          <w:bCs/>
          <w:i/>
          <w:iCs/>
        </w:rPr>
        <w:t>Consumer Price Inflation Time Series</w:t>
      </w:r>
      <w:r w:rsidRPr="0056621C">
        <w:rPr>
          <w:rFonts w:asciiTheme="minorHAnsi" w:hAnsiTheme="minorHAnsi" w:cstheme="minorHAnsi"/>
          <w:bCs/>
        </w:rPr>
        <w:t>); House of Commons Library.</w:t>
      </w:r>
    </w:p>
    <w:p w14:paraId="6220C6EA" w14:textId="77777777" w:rsidR="008650A2" w:rsidRDefault="008650A2"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rPr>
      </w:pPr>
    </w:p>
    <w:p w14:paraId="66BFB565" w14:textId="5E6C882B" w:rsidR="00212708" w:rsidRPr="00DA7DA5" w:rsidRDefault="00212708" w:rsidP="00212708">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Pr>
          <w:rFonts w:asciiTheme="minorHAnsi" w:hAnsiTheme="minorHAnsi" w:cstheme="minorHAnsi"/>
          <w:b/>
          <w:bCs/>
        </w:rPr>
        <w:t xml:space="preserve">Attachment 2: </w:t>
      </w:r>
      <w:r w:rsidRPr="00DA7DA5">
        <w:rPr>
          <w:rFonts w:asciiTheme="minorHAnsi" w:hAnsiTheme="minorHAnsi" w:cstheme="minorHAnsi"/>
          <w:b/>
          <w:bCs/>
        </w:rPr>
        <w:t>UK GNI, ODA, and In-Donor Refugee Costs (2013–2023)</w:t>
      </w:r>
    </w:p>
    <w:tbl>
      <w:tblPr>
        <w:tblW w:w="942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75"/>
        <w:gridCol w:w="1555"/>
        <w:gridCol w:w="1616"/>
        <w:gridCol w:w="1555"/>
        <w:gridCol w:w="1555"/>
        <w:gridCol w:w="1572"/>
      </w:tblGrid>
      <w:tr w:rsidR="00212708" w:rsidRPr="00DA7DA5" w14:paraId="73A620C4" w14:textId="77777777" w:rsidTr="0023797A">
        <w:trPr>
          <w:trHeight w:val="618"/>
        </w:trPr>
        <w:tc>
          <w:tcPr>
            <w:tcW w:w="1575" w:type="dxa"/>
            <w:tcBorders>
              <w:top w:val="single" w:sz="6" w:space="0" w:color="E0E0E0"/>
              <w:left w:val="single" w:sz="6" w:space="0" w:color="E0E0E0"/>
              <w:bottom w:val="single" w:sz="6" w:space="0" w:color="E0E0E0"/>
              <w:right w:val="single" w:sz="6" w:space="0" w:color="E0E0E0"/>
            </w:tcBorders>
          </w:tcPr>
          <w:p w14:paraId="639EC851" w14:textId="77777777" w:rsidR="00212708" w:rsidRPr="00BB53C0"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
              </w:rPr>
            </w:pPr>
            <w:r w:rsidRPr="00BB53C0">
              <w:rPr>
                <w:rFonts w:asciiTheme="minorHAnsi" w:hAnsiTheme="minorHAnsi" w:cstheme="minorHAnsi"/>
                <w:b/>
              </w:rPr>
              <w:t>Year</w:t>
            </w:r>
          </w:p>
        </w:tc>
        <w:tc>
          <w:tcPr>
            <w:tcW w:w="1555" w:type="dxa"/>
            <w:tcBorders>
              <w:top w:val="single" w:sz="6" w:space="0" w:color="E0E0E0"/>
              <w:left w:val="single" w:sz="6" w:space="0" w:color="E0E0E0"/>
              <w:bottom w:val="single" w:sz="6" w:space="0" w:color="E0E0E0"/>
              <w:right w:val="single" w:sz="6" w:space="0" w:color="E0E0E0"/>
            </w:tcBorders>
          </w:tcPr>
          <w:p w14:paraId="5D77C974" w14:textId="77777777" w:rsidR="00212708" w:rsidRPr="00DA7DA5" w:rsidRDefault="00212708" w:rsidP="0023797A">
            <w:pPr>
              <w:spacing w:after="0" w:line="240" w:lineRule="auto"/>
              <w:jc w:val="center"/>
              <w:rPr>
                <w:rFonts w:asciiTheme="minorHAnsi" w:hAnsiTheme="minorHAnsi" w:cstheme="minorHAnsi"/>
                <w:bCs/>
              </w:rPr>
            </w:pPr>
            <w:r w:rsidRPr="006D6C55">
              <w:rPr>
                <w:b/>
                <w:bCs/>
              </w:rPr>
              <w:t>GNI</w:t>
            </w:r>
            <w:r>
              <w:rPr>
                <w:b/>
                <w:bCs/>
              </w:rPr>
              <w:t xml:space="preserve"> </w:t>
            </w:r>
            <w:r w:rsidRPr="006D6C55">
              <w:rPr>
                <w:b/>
                <w:bCs/>
              </w:rPr>
              <w:t>(£ tr</w:t>
            </w:r>
            <w:r w:rsidRPr="0056621C">
              <w:rPr>
                <w:b/>
                <w:bCs/>
              </w:rPr>
              <w:t>illion</w:t>
            </w:r>
            <w:r w:rsidRPr="006D6C55">
              <w:rPr>
                <w:b/>
                <w:bCs/>
              </w:rPr>
              <w:t>)</w:t>
            </w:r>
          </w:p>
        </w:tc>
        <w:tc>
          <w:tcPr>
            <w:tcW w:w="1616" w:type="dxa"/>
            <w:tcBorders>
              <w:top w:val="single" w:sz="6" w:space="0" w:color="E0E0E0"/>
              <w:left w:val="single" w:sz="6" w:space="0" w:color="E0E0E0"/>
              <w:bottom w:val="single" w:sz="6" w:space="0" w:color="E0E0E0"/>
              <w:right w:val="single" w:sz="6" w:space="0" w:color="E0E0E0"/>
            </w:tcBorders>
          </w:tcPr>
          <w:p w14:paraId="577854E9" w14:textId="77777777" w:rsidR="00212708" w:rsidRPr="00DA7DA5" w:rsidRDefault="00212708" w:rsidP="0023797A">
            <w:pPr>
              <w:spacing w:after="0" w:line="240" w:lineRule="auto"/>
              <w:jc w:val="center"/>
              <w:rPr>
                <w:rFonts w:asciiTheme="minorHAnsi" w:hAnsiTheme="minorHAnsi" w:cstheme="minorHAnsi"/>
                <w:bCs/>
              </w:rPr>
            </w:pPr>
            <w:r w:rsidRPr="006D6C55">
              <w:rPr>
                <w:b/>
                <w:bCs/>
              </w:rPr>
              <w:t>ODA</w:t>
            </w:r>
            <w:r>
              <w:rPr>
                <w:b/>
                <w:bCs/>
              </w:rPr>
              <w:t xml:space="preserve"> </w:t>
            </w:r>
            <w:r w:rsidRPr="006D6C55">
              <w:rPr>
                <w:b/>
                <w:bCs/>
              </w:rPr>
              <w:t>as % of GNI</w:t>
            </w:r>
          </w:p>
        </w:tc>
        <w:tc>
          <w:tcPr>
            <w:tcW w:w="1555" w:type="dxa"/>
            <w:tcBorders>
              <w:top w:val="single" w:sz="6" w:space="0" w:color="E0E0E0"/>
              <w:left w:val="single" w:sz="6" w:space="0" w:color="E0E0E0"/>
              <w:bottom w:val="single" w:sz="6" w:space="0" w:color="E0E0E0"/>
              <w:right w:val="single" w:sz="6" w:space="0" w:color="E0E0E0"/>
            </w:tcBorders>
          </w:tcPr>
          <w:p w14:paraId="3E5E4C75" w14:textId="77777777" w:rsidR="00212708" w:rsidRPr="00DA7DA5" w:rsidRDefault="00212708" w:rsidP="0023797A">
            <w:pPr>
              <w:spacing w:after="0" w:line="240" w:lineRule="auto"/>
              <w:jc w:val="center"/>
              <w:rPr>
                <w:rFonts w:asciiTheme="minorHAnsi" w:hAnsiTheme="minorHAnsi" w:cstheme="minorHAnsi"/>
                <w:bCs/>
              </w:rPr>
            </w:pPr>
            <w:r w:rsidRPr="006D6C55">
              <w:rPr>
                <w:b/>
                <w:bCs/>
              </w:rPr>
              <w:t xml:space="preserve">ODA </w:t>
            </w:r>
            <w:r w:rsidRPr="0056621C">
              <w:rPr>
                <w:b/>
                <w:bCs/>
              </w:rPr>
              <w:t>Estimated</w:t>
            </w:r>
            <w:r>
              <w:rPr>
                <w:b/>
                <w:bCs/>
              </w:rPr>
              <w:t xml:space="preserve"> </w:t>
            </w:r>
            <w:r w:rsidRPr="006D6C55">
              <w:rPr>
                <w:b/>
                <w:bCs/>
              </w:rPr>
              <w:t>(£ b</w:t>
            </w:r>
            <w:r w:rsidRPr="0056621C">
              <w:rPr>
                <w:b/>
                <w:bCs/>
              </w:rPr>
              <w:t>illion</w:t>
            </w:r>
            <w:r w:rsidRPr="006D6C55">
              <w:rPr>
                <w:b/>
                <w:bCs/>
              </w:rPr>
              <w:t>)</w:t>
            </w:r>
          </w:p>
        </w:tc>
        <w:tc>
          <w:tcPr>
            <w:tcW w:w="1555" w:type="dxa"/>
            <w:tcBorders>
              <w:top w:val="single" w:sz="6" w:space="0" w:color="E0E0E0"/>
              <w:left w:val="single" w:sz="6" w:space="0" w:color="E0E0E0"/>
              <w:bottom w:val="single" w:sz="6" w:space="0" w:color="E0E0E0"/>
              <w:right w:val="single" w:sz="6" w:space="0" w:color="E0E0E0"/>
            </w:tcBorders>
          </w:tcPr>
          <w:p w14:paraId="42A7E7DD" w14:textId="77777777" w:rsidR="00212708" w:rsidRPr="00DA7DA5" w:rsidRDefault="00212708" w:rsidP="0023797A">
            <w:pPr>
              <w:spacing w:after="0" w:line="240" w:lineRule="auto"/>
              <w:jc w:val="center"/>
              <w:rPr>
                <w:rFonts w:asciiTheme="minorHAnsi" w:hAnsiTheme="minorHAnsi" w:cstheme="minorHAnsi"/>
                <w:bCs/>
              </w:rPr>
            </w:pPr>
            <w:r w:rsidRPr="006D6C55">
              <w:rPr>
                <w:b/>
                <w:bCs/>
              </w:rPr>
              <w:t>IDRC</w:t>
            </w:r>
            <w:r>
              <w:rPr>
                <w:b/>
                <w:bCs/>
              </w:rPr>
              <w:t xml:space="preserve"> </w:t>
            </w:r>
            <w:r w:rsidRPr="006D6C55">
              <w:rPr>
                <w:b/>
                <w:bCs/>
              </w:rPr>
              <w:t>(£ b</w:t>
            </w:r>
            <w:r w:rsidRPr="0056621C">
              <w:rPr>
                <w:b/>
                <w:bCs/>
              </w:rPr>
              <w:t>illio</w:t>
            </w:r>
            <w:r w:rsidRPr="006D6C55">
              <w:rPr>
                <w:b/>
                <w:bCs/>
              </w:rPr>
              <w:t>n)</w:t>
            </w:r>
            <w:r>
              <w:rPr>
                <w:b/>
                <w:bCs/>
              </w:rPr>
              <w:t>*</w:t>
            </w:r>
          </w:p>
        </w:tc>
        <w:tc>
          <w:tcPr>
            <w:tcW w:w="1572" w:type="dxa"/>
            <w:tcBorders>
              <w:top w:val="single" w:sz="6" w:space="0" w:color="E0E0E0"/>
              <w:left w:val="single" w:sz="6" w:space="0" w:color="E0E0E0"/>
              <w:bottom w:val="single" w:sz="6" w:space="0" w:color="E0E0E0"/>
              <w:right w:val="single" w:sz="6" w:space="0" w:color="E0E0E0"/>
            </w:tcBorders>
          </w:tcPr>
          <w:p w14:paraId="3E76EE70" w14:textId="77777777" w:rsidR="00212708" w:rsidRPr="00DA7DA5" w:rsidRDefault="00212708" w:rsidP="0023797A">
            <w:pPr>
              <w:spacing w:after="0" w:line="240" w:lineRule="auto"/>
              <w:jc w:val="center"/>
              <w:rPr>
                <w:rFonts w:asciiTheme="minorHAnsi" w:hAnsiTheme="minorHAnsi" w:cstheme="minorHAnsi"/>
                <w:bCs/>
              </w:rPr>
            </w:pPr>
            <w:r w:rsidRPr="006D6C55">
              <w:rPr>
                <w:b/>
                <w:bCs/>
              </w:rPr>
              <w:t>IDRC</w:t>
            </w:r>
            <w:r>
              <w:rPr>
                <w:b/>
                <w:bCs/>
              </w:rPr>
              <w:t xml:space="preserve"> </w:t>
            </w:r>
            <w:r w:rsidRPr="006D6C55">
              <w:rPr>
                <w:b/>
                <w:bCs/>
              </w:rPr>
              <w:t>as % of ODA</w:t>
            </w:r>
            <w:r>
              <w:rPr>
                <w:b/>
                <w:bCs/>
              </w:rPr>
              <w:t>*</w:t>
            </w:r>
          </w:p>
        </w:tc>
      </w:tr>
      <w:tr w:rsidR="00212708" w:rsidRPr="00DA7DA5" w14:paraId="3B5E2719" w14:textId="77777777" w:rsidTr="0023797A">
        <w:trPr>
          <w:trHeight w:val="251"/>
        </w:trPr>
        <w:tc>
          <w:tcPr>
            <w:tcW w:w="1575" w:type="dxa"/>
            <w:tcBorders>
              <w:top w:val="single" w:sz="6" w:space="0" w:color="E0E0E0"/>
              <w:left w:val="single" w:sz="6" w:space="0" w:color="E0E0E0"/>
              <w:bottom w:val="single" w:sz="6" w:space="0" w:color="E0E0E0"/>
              <w:right w:val="single" w:sz="6" w:space="0" w:color="E0E0E0"/>
            </w:tcBorders>
            <w:hideMark/>
          </w:tcPr>
          <w:p w14:paraId="4743F67D"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2013</w:t>
            </w:r>
          </w:p>
        </w:tc>
        <w:tc>
          <w:tcPr>
            <w:tcW w:w="1555" w:type="dxa"/>
            <w:tcBorders>
              <w:top w:val="single" w:sz="6" w:space="0" w:color="E0E0E0"/>
              <w:left w:val="single" w:sz="6" w:space="0" w:color="E0E0E0"/>
              <w:bottom w:val="single" w:sz="6" w:space="0" w:color="E0E0E0"/>
              <w:right w:val="single" w:sz="6" w:space="0" w:color="E0E0E0"/>
            </w:tcBorders>
            <w:hideMark/>
          </w:tcPr>
          <w:p w14:paraId="1553F9D9"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1.63</w:t>
            </w:r>
          </w:p>
        </w:tc>
        <w:tc>
          <w:tcPr>
            <w:tcW w:w="1616" w:type="dxa"/>
            <w:tcBorders>
              <w:top w:val="single" w:sz="6" w:space="0" w:color="E0E0E0"/>
              <w:left w:val="single" w:sz="6" w:space="0" w:color="E0E0E0"/>
              <w:bottom w:val="single" w:sz="6" w:space="0" w:color="E0E0E0"/>
              <w:right w:val="single" w:sz="6" w:space="0" w:color="E0E0E0"/>
            </w:tcBorders>
            <w:hideMark/>
          </w:tcPr>
          <w:p w14:paraId="51A4A48A"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0.70%</w:t>
            </w:r>
          </w:p>
        </w:tc>
        <w:tc>
          <w:tcPr>
            <w:tcW w:w="1555" w:type="dxa"/>
            <w:tcBorders>
              <w:top w:val="single" w:sz="6" w:space="0" w:color="E0E0E0"/>
              <w:left w:val="single" w:sz="6" w:space="0" w:color="E0E0E0"/>
              <w:bottom w:val="single" w:sz="6" w:space="0" w:color="E0E0E0"/>
              <w:right w:val="single" w:sz="6" w:space="0" w:color="E0E0E0"/>
            </w:tcBorders>
            <w:hideMark/>
          </w:tcPr>
          <w:p w14:paraId="34493081"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11.4</w:t>
            </w:r>
          </w:p>
        </w:tc>
        <w:tc>
          <w:tcPr>
            <w:tcW w:w="1555" w:type="dxa"/>
            <w:tcBorders>
              <w:top w:val="single" w:sz="6" w:space="0" w:color="E0E0E0"/>
              <w:left w:val="single" w:sz="6" w:space="0" w:color="E0E0E0"/>
              <w:bottom w:val="single" w:sz="6" w:space="0" w:color="E0E0E0"/>
              <w:right w:val="single" w:sz="6" w:space="0" w:color="E0E0E0"/>
            </w:tcBorders>
            <w:hideMark/>
          </w:tcPr>
          <w:p w14:paraId="76D68DB1"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0.34</w:t>
            </w:r>
          </w:p>
        </w:tc>
        <w:tc>
          <w:tcPr>
            <w:tcW w:w="1572" w:type="dxa"/>
            <w:tcBorders>
              <w:top w:val="single" w:sz="6" w:space="0" w:color="E0E0E0"/>
              <w:left w:val="single" w:sz="6" w:space="0" w:color="E0E0E0"/>
              <w:bottom w:val="single" w:sz="6" w:space="0" w:color="E0E0E0"/>
              <w:right w:val="single" w:sz="6" w:space="0" w:color="E0E0E0"/>
            </w:tcBorders>
            <w:hideMark/>
          </w:tcPr>
          <w:p w14:paraId="2006AE6C"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3%</w:t>
            </w:r>
          </w:p>
        </w:tc>
      </w:tr>
      <w:tr w:rsidR="00212708" w:rsidRPr="00DA7DA5" w14:paraId="0F0FCF51" w14:textId="77777777" w:rsidTr="0023797A">
        <w:trPr>
          <w:trHeight w:val="251"/>
        </w:trPr>
        <w:tc>
          <w:tcPr>
            <w:tcW w:w="0" w:type="auto"/>
            <w:tcBorders>
              <w:top w:val="nil"/>
              <w:left w:val="single" w:sz="6" w:space="0" w:color="E0E0E0"/>
              <w:bottom w:val="single" w:sz="6" w:space="0" w:color="E0E0E0"/>
              <w:right w:val="single" w:sz="6" w:space="0" w:color="E0E0E0"/>
            </w:tcBorders>
            <w:hideMark/>
          </w:tcPr>
          <w:p w14:paraId="260EB6F6"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2018</w:t>
            </w:r>
          </w:p>
        </w:tc>
        <w:tc>
          <w:tcPr>
            <w:tcW w:w="0" w:type="auto"/>
            <w:tcBorders>
              <w:top w:val="nil"/>
              <w:left w:val="single" w:sz="6" w:space="0" w:color="E0E0E0"/>
              <w:bottom w:val="single" w:sz="6" w:space="0" w:color="E0E0E0"/>
              <w:right w:val="single" w:sz="6" w:space="0" w:color="E0E0E0"/>
            </w:tcBorders>
            <w:hideMark/>
          </w:tcPr>
          <w:p w14:paraId="1D8DBCC8"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2.15</w:t>
            </w:r>
          </w:p>
        </w:tc>
        <w:tc>
          <w:tcPr>
            <w:tcW w:w="0" w:type="auto"/>
            <w:tcBorders>
              <w:top w:val="nil"/>
              <w:left w:val="single" w:sz="6" w:space="0" w:color="E0E0E0"/>
              <w:bottom w:val="single" w:sz="6" w:space="0" w:color="E0E0E0"/>
              <w:right w:val="single" w:sz="6" w:space="0" w:color="E0E0E0"/>
            </w:tcBorders>
            <w:hideMark/>
          </w:tcPr>
          <w:p w14:paraId="61900E16"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0.70%</w:t>
            </w:r>
          </w:p>
        </w:tc>
        <w:tc>
          <w:tcPr>
            <w:tcW w:w="0" w:type="auto"/>
            <w:tcBorders>
              <w:top w:val="nil"/>
              <w:left w:val="single" w:sz="6" w:space="0" w:color="E0E0E0"/>
              <w:bottom w:val="single" w:sz="6" w:space="0" w:color="E0E0E0"/>
              <w:right w:val="single" w:sz="6" w:space="0" w:color="E0E0E0"/>
            </w:tcBorders>
            <w:hideMark/>
          </w:tcPr>
          <w:p w14:paraId="6E793C21"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15.1</w:t>
            </w:r>
          </w:p>
        </w:tc>
        <w:tc>
          <w:tcPr>
            <w:tcW w:w="0" w:type="auto"/>
            <w:tcBorders>
              <w:top w:val="nil"/>
              <w:left w:val="single" w:sz="6" w:space="0" w:color="E0E0E0"/>
              <w:bottom w:val="single" w:sz="6" w:space="0" w:color="E0E0E0"/>
              <w:right w:val="single" w:sz="6" w:space="0" w:color="E0E0E0"/>
            </w:tcBorders>
            <w:hideMark/>
          </w:tcPr>
          <w:p w14:paraId="3C04AB89"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0.68</w:t>
            </w:r>
          </w:p>
        </w:tc>
        <w:tc>
          <w:tcPr>
            <w:tcW w:w="0" w:type="auto"/>
            <w:tcBorders>
              <w:top w:val="nil"/>
              <w:left w:val="single" w:sz="6" w:space="0" w:color="E0E0E0"/>
              <w:bottom w:val="single" w:sz="6" w:space="0" w:color="E0E0E0"/>
              <w:right w:val="single" w:sz="6" w:space="0" w:color="E0E0E0"/>
            </w:tcBorders>
            <w:hideMark/>
          </w:tcPr>
          <w:p w14:paraId="1A356FD4"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4.5%</w:t>
            </w:r>
          </w:p>
        </w:tc>
      </w:tr>
      <w:tr w:rsidR="00212708" w:rsidRPr="00DA7DA5" w14:paraId="572733D2" w14:textId="77777777" w:rsidTr="0023797A">
        <w:trPr>
          <w:trHeight w:val="251"/>
        </w:trPr>
        <w:tc>
          <w:tcPr>
            <w:tcW w:w="0" w:type="auto"/>
            <w:tcBorders>
              <w:top w:val="nil"/>
              <w:left w:val="single" w:sz="6" w:space="0" w:color="E0E0E0"/>
              <w:bottom w:val="single" w:sz="6" w:space="0" w:color="E0E0E0"/>
              <w:right w:val="single" w:sz="6" w:space="0" w:color="E0E0E0"/>
            </w:tcBorders>
            <w:hideMark/>
          </w:tcPr>
          <w:p w14:paraId="6C910BD9"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2020</w:t>
            </w:r>
          </w:p>
        </w:tc>
        <w:tc>
          <w:tcPr>
            <w:tcW w:w="0" w:type="auto"/>
            <w:tcBorders>
              <w:top w:val="nil"/>
              <w:left w:val="single" w:sz="6" w:space="0" w:color="E0E0E0"/>
              <w:bottom w:val="single" w:sz="6" w:space="0" w:color="E0E0E0"/>
              <w:right w:val="single" w:sz="6" w:space="0" w:color="E0E0E0"/>
            </w:tcBorders>
            <w:hideMark/>
          </w:tcPr>
          <w:p w14:paraId="1380713B"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2.26</w:t>
            </w:r>
          </w:p>
        </w:tc>
        <w:tc>
          <w:tcPr>
            <w:tcW w:w="0" w:type="auto"/>
            <w:tcBorders>
              <w:top w:val="nil"/>
              <w:left w:val="single" w:sz="6" w:space="0" w:color="E0E0E0"/>
              <w:bottom w:val="single" w:sz="6" w:space="0" w:color="E0E0E0"/>
              <w:right w:val="single" w:sz="6" w:space="0" w:color="E0E0E0"/>
            </w:tcBorders>
            <w:hideMark/>
          </w:tcPr>
          <w:p w14:paraId="41849F67"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0.70%</w:t>
            </w:r>
          </w:p>
        </w:tc>
        <w:tc>
          <w:tcPr>
            <w:tcW w:w="0" w:type="auto"/>
            <w:tcBorders>
              <w:top w:val="nil"/>
              <w:left w:val="single" w:sz="6" w:space="0" w:color="E0E0E0"/>
              <w:bottom w:val="single" w:sz="6" w:space="0" w:color="E0E0E0"/>
              <w:right w:val="single" w:sz="6" w:space="0" w:color="E0E0E0"/>
            </w:tcBorders>
            <w:hideMark/>
          </w:tcPr>
          <w:p w14:paraId="17E40A63"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15.8</w:t>
            </w:r>
          </w:p>
        </w:tc>
        <w:tc>
          <w:tcPr>
            <w:tcW w:w="0" w:type="auto"/>
            <w:tcBorders>
              <w:top w:val="nil"/>
              <w:left w:val="single" w:sz="6" w:space="0" w:color="E0E0E0"/>
              <w:bottom w:val="single" w:sz="6" w:space="0" w:color="E0E0E0"/>
              <w:right w:val="single" w:sz="6" w:space="0" w:color="E0E0E0"/>
            </w:tcBorders>
            <w:hideMark/>
          </w:tcPr>
          <w:p w14:paraId="226F34E2"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1.42</w:t>
            </w:r>
          </w:p>
        </w:tc>
        <w:tc>
          <w:tcPr>
            <w:tcW w:w="0" w:type="auto"/>
            <w:tcBorders>
              <w:top w:val="nil"/>
              <w:left w:val="single" w:sz="6" w:space="0" w:color="E0E0E0"/>
              <w:bottom w:val="single" w:sz="6" w:space="0" w:color="E0E0E0"/>
              <w:right w:val="single" w:sz="6" w:space="0" w:color="E0E0E0"/>
            </w:tcBorders>
            <w:hideMark/>
          </w:tcPr>
          <w:p w14:paraId="1F4C8F6E"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9%</w:t>
            </w:r>
          </w:p>
        </w:tc>
      </w:tr>
      <w:tr w:rsidR="00212708" w:rsidRPr="00DA7DA5" w14:paraId="41FB46C1" w14:textId="77777777" w:rsidTr="0023797A">
        <w:trPr>
          <w:trHeight w:val="251"/>
        </w:trPr>
        <w:tc>
          <w:tcPr>
            <w:tcW w:w="0" w:type="auto"/>
            <w:tcBorders>
              <w:top w:val="nil"/>
              <w:left w:val="single" w:sz="6" w:space="0" w:color="E0E0E0"/>
              <w:bottom w:val="single" w:sz="6" w:space="0" w:color="E0E0E0"/>
              <w:right w:val="single" w:sz="6" w:space="0" w:color="E0E0E0"/>
            </w:tcBorders>
            <w:hideMark/>
          </w:tcPr>
          <w:p w14:paraId="15FBD65C"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2021</w:t>
            </w:r>
          </w:p>
        </w:tc>
        <w:tc>
          <w:tcPr>
            <w:tcW w:w="0" w:type="auto"/>
            <w:tcBorders>
              <w:top w:val="nil"/>
              <w:left w:val="single" w:sz="6" w:space="0" w:color="E0E0E0"/>
              <w:bottom w:val="single" w:sz="6" w:space="0" w:color="E0E0E0"/>
              <w:right w:val="single" w:sz="6" w:space="0" w:color="E0E0E0"/>
            </w:tcBorders>
            <w:hideMark/>
          </w:tcPr>
          <w:p w14:paraId="795B3D71"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2.37</w:t>
            </w:r>
          </w:p>
        </w:tc>
        <w:tc>
          <w:tcPr>
            <w:tcW w:w="0" w:type="auto"/>
            <w:tcBorders>
              <w:top w:val="nil"/>
              <w:left w:val="single" w:sz="6" w:space="0" w:color="E0E0E0"/>
              <w:bottom w:val="single" w:sz="6" w:space="0" w:color="E0E0E0"/>
              <w:right w:val="single" w:sz="6" w:space="0" w:color="E0E0E0"/>
            </w:tcBorders>
            <w:hideMark/>
          </w:tcPr>
          <w:p w14:paraId="3C5116D4"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0.50%</w:t>
            </w:r>
          </w:p>
        </w:tc>
        <w:tc>
          <w:tcPr>
            <w:tcW w:w="0" w:type="auto"/>
            <w:tcBorders>
              <w:top w:val="nil"/>
              <w:left w:val="single" w:sz="6" w:space="0" w:color="E0E0E0"/>
              <w:bottom w:val="single" w:sz="6" w:space="0" w:color="E0E0E0"/>
              <w:right w:val="single" w:sz="6" w:space="0" w:color="E0E0E0"/>
            </w:tcBorders>
            <w:hideMark/>
          </w:tcPr>
          <w:p w14:paraId="0DE5A9BF"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11.9</w:t>
            </w:r>
          </w:p>
        </w:tc>
        <w:tc>
          <w:tcPr>
            <w:tcW w:w="0" w:type="auto"/>
            <w:tcBorders>
              <w:top w:val="nil"/>
              <w:left w:val="single" w:sz="6" w:space="0" w:color="E0E0E0"/>
              <w:bottom w:val="single" w:sz="6" w:space="0" w:color="E0E0E0"/>
              <w:right w:val="single" w:sz="6" w:space="0" w:color="E0E0E0"/>
            </w:tcBorders>
            <w:hideMark/>
          </w:tcPr>
          <w:p w14:paraId="3EADB8FD"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2.26</w:t>
            </w:r>
          </w:p>
        </w:tc>
        <w:tc>
          <w:tcPr>
            <w:tcW w:w="0" w:type="auto"/>
            <w:tcBorders>
              <w:top w:val="nil"/>
              <w:left w:val="single" w:sz="6" w:space="0" w:color="E0E0E0"/>
              <w:bottom w:val="single" w:sz="6" w:space="0" w:color="E0E0E0"/>
              <w:right w:val="single" w:sz="6" w:space="0" w:color="E0E0E0"/>
            </w:tcBorders>
            <w:hideMark/>
          </w:tcPr>
          <w:p w14:paraId="299E8905"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19%</w:t>
            </w:r>
          </w:p>
        </w:tc>
      </w:tr>
      <w:tr w:rsidR="00212708" w:rsidRPr="00DA7DA5" w14:paraId="093C4EB9" w14:textId="77777777" w:rsidTr="0023797A">
        <w:trPr>
          <w:trHeight w:val="251"/>
        </w:trPr>
        <w:tc>
          <w:tcPr>
            <w:tcW w:w="0" w:type="auto"/>
            <w:tcBorders>
              <w:top w:val="nil"/>
              <w:left w:val="single" w:sz="6" w:space="0" w:color="E0E0E0"/>
              <w:bottom w:val="single" w:sz="6" w:space="0" w:color="E0E0E0"/>
              <w:right w:val="single" w:sz="6" w:space="0" w:color="E0E0E0"/>
            </w:tcBorders>
            <w:hideMark/>
          </w:tcPr>
          <w:p w14:paraId="5FD62DF5"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2023</w:t>
            </w:r>
          </w:p>
        </w:tc>
        <w:tc>
          <w:tcPr>
            <w:tcW w:w="0" w:type="auto"/>
            <w:tcBorders>
              <w:top w:val="nil"/>
              <w:left w:val="single" w:sz="6" w:space="0" w:color="E0E0E0"/>
              <w:bottom w:val="single" w:sz="6" w:space="0" w:color="E0E0E0"/>
              <w:right w:val="single" w:sz="6" w:space="0" w:color="E0E0E0"/>
            </w:tcBorders>
            <w:hideMark/>
          </w:tcPr>
          <w:p w14:paraId="36ADF3A9"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2.65</w:t>
            </w:r>
          </w:p>
        </w:tc>
        <w:tc>
          <w:tcPr>
            <w:tcW w:w="0" w:type="auto"/>
            <w:tcBorders>
              <w:top w:val="nil"/>
              <w:left w:val="single" w:sz="6" w:space="0" w:color="E0E0E0"/>
              <w:bottom w:val="single" w:sz="6" w:space="0" w:color="E0E0E0"/>
              <w:right w:val="single" w:sz="6" w:space="0" w:color="E0E0E0"/>
            </w:tcBorders>
            <w:hideMark/>
          </w:tcPr>
          <w:p w14:paraId="4A696433"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0.58%</w:t>
            </w:r>
          </w:p>
        </w:tc>
        <w:tc>
          <w:tcPr>
            <w:tcW w:w="0" w:type="auto"/>
            <w:tcBorders>
              <w:top w:val="nil"/>
              <w:left w:val="single" w:sz="6" w:space="0" w:color="E0E0E0"/>
              <w:bottom w:val="single" w:sz="6" w:space="0" w:color="E0E0E0"/>
              <w:right w:val="single" w:sz="6" w:space="0" w:color="E0E0E0"/>
            </w:tcBorders>
            <w:hideMark/>
          </w:tcPr>
          <w:p w14:paraId="4835CF25"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15.3</w:t>
            </w:r>
          </w:p>
        </w:tc>
        <w:tc>
          <w:tcPr>
            <w:tcW w:w="0" w:type="auto"/>
            <w:tcBorders>
              <w:top w:val="nil"/>
              <w:left w:val="single" w:sz="6" w:space="0" w:color="E0E0E0"/>
              <w:bottom w:val="single" w:sz="6" w:space="0" w:color="E0E0E0"/>
              <w:right w:val="single" w:sz="6" w:space="0" w:color="E0E0E0"/>
            </w:tcBorders>
            <w:hideMark/>
          </w:tcPr>
          <w:p w14:paraId="53589761"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5.38</w:t>
            </w:r>
          </w:p>
        </w:tc>
        <w:tc>
          <w:tcPr>
            <w:tcW w:w="0" w:type="auto"/>
            <w:tcBorders>
              <w:top w:val="nil"/>
              <w:left w:val="single" w:sz="6" w:space="0" w:color="E0E0E0"/>
              <w:bottom w:val="single" w:sz="6" w:space="0" w:color="E0E0E0"/>
              <w:right w:val="single" w:sz="6" w:space="0" w:color="E0E0E0"/>
            </w:tcBorders>
            <w:hideMark/>
          </w:tcPr>
          <w:p w14:paraId="08B45562" w14:textId="77777777" w:rsidR="00212708" w:rsidRPr="00DA7DA5" w:rsidRDefault="00212708" w:rsidP="0023797A">
            <w:pPr>
              <w:pBdr>
                <w:top w:val="nil"/>
                <w:left w:val="nil"/>
                <w:bottom w:val="nil"/>
                <w:right w:val="nil"/>
                <w:between w:val="nil"/>
              </w:pBdr>
              <w:tabs>
                <w:tab w:val="center" w:pos="4680"/>
                <w:tab w:val="right" w:pos="9360"/>
              </w:tabs>
              <w:spacing w:after="0" w:line="240" w:lineRule="auto"/>
              <w:rPr>
                <w:rFonts w:asciiTheme="minorHAnsi" w:hAnsiTheme="minorHAnsi" w:cstheme="minorHAnsi"/>
                <w:bCs/>
              </w:rPr>
            </w:pPr>
            <w:r w:rsidRPr="00DA7DA5">
              <w:rPr>
                <w:rFonts w:asciiTheme="minorHAnsi" w:hAnsiTheme="minorHAnsi" w:cstheme="minorHAnsi"/>
                <w:bCs/>
              </w:rPr>
              <w:t>28%</w:t>
            </w:r>
          </w:p>
        </w:tc>
      </w:tr>
    </w:tbl>
    <w:p w14:paraId="69A4B292" w14:textId="77777777" w:rsidR="00212708" w:rsidRDefault="00212708" w:rsidP="00212708">
      <w:pPr>
        <w:spacing w:after="0" w:line="240" w:lineRule="auto"/>
        <w:rPr>
          <w:rFonts w:asciiTheme="minorHAnsi" w:hAnsiTheme="minorHAnsi" w:cstheme="minorHAnsi"/>
          <w:b/>
          <w:bCs/>
        </w:rPr>
      </w:pPr>
      <w:r w:rsidRPr="00F75ACB">
        <w:rPr>
          <w:b/>
          <w:bCs/>
        </w:rPr>
        <w:t>Sources:</w:t>
      </w:r>
      <w:r w:rsidRPr="00F75ACB">
        <w:t xml:space="preserve"> Office for Budget Responsibility; Office for National Statistics, </w:t>
      </w:r>
      <w:r w:rsidRPr="00F75ACB">
        <w:rPr>
          <w:i/>
          <w:iCs/>
        </w:rPr>
        <w:t>UK National Accounts: The Blue Book, 2023</w:t>
      </w:r>
      <w:r w:rsidRPr="00F75ACB">
        <w:t>; </w:t>
      </w:r>
      <w:r w:rsidRPr="00F75ACB">
        <w:rPr>
          <w:i/>
          <w:iCs/>
        </w:rPr>
        <w:t>Consumer Price Inflation Time Series</w:t>
      </w:r>
      <w:r w:rsidRPr="00F75ACB">
        <w:t>; Foreign, Commonwealth &amp; Development Office, </w:t>
      </w:r>
      <w:r w:rsidRPr="00F75ACB">
        <w:rPr>
          <w:i/>
          <w:iCs/>
        </w:rPr>
        <w:t>Statistics on International Development: Final UK Aid Spend 2022</w:t>
      </w:r>
      <w:r w:rsidRPr="00F75ACB">
        <w:t>; House of Commons Library, </w:t>
      </w:r>
      <w:r w:rsidRPr="00F75ACB">
        <w:rPr>
          <w:i/>
          <w:iCs/>
        </w:rPr>
        <w:t>The UK Aid Budget and Support for Refugees in the UK, 2022 to 2024</w:t>
      </w:r>
      <w:r w:rsidRPr="00F75ACB">
        <w:t>.</w:t>
      </w:r>
    </w:p>
    <w:p w14:paraId="6E63810C" w14:textId="77777777" w:rsidR="00212708" w:rsidRPr="0056621C" w:rsidRDefault="00212708" w:rsidP="00212708">
      <w:pPr>
        <w:spacing w:after="0" w:line="240" w:lineRule="auto"/>
        <w:rPr>
          <w:rFonts w:asciiTheme="minorHAnsi" w:hAnsiTheme="minorHAnsi" w:cstheme="minorHAnsi"/>
        </w:rPr>
      </w:pPr>
      <w:r w:rsidRPr="0056621C">
        <w:rPr>
          <w:rFonts w:asciiTheme="minorHAnsi" w:hAnsiTheme="minorHAnsi" w:cstheme="minorHAnsi"/>
          <w:b/>
          <w:bCs/>
        </w:rPr>
        <w:t>*Note:</w:t>
      </w:r>
      <w:r w:rsidRPr="0056621C">
        <w:rPr>
          <w:rFonts w:asciiTheme="minorHAnsi" w:hAnsiTheme="minorHAnsi" w:cstheme="minorHAnsi"/>
        </w:rPr>
        <w:t xml:space="preserve"> Figures for In-Donor Refugee Costs (IDRC) vary slightly across official sources. </w:t>
      </w:r>
    </w:p>
    <w:p w14:paraId="78CCE024" w14:textId="77777777" w:rsidR="00212708" w:rsidRDefault="00212708"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rPr>
      </w:pPr>
    </w:p>
    <w:p w14:paraId="5718BCA8" w14:textId="77777777" w:rsidR="008650A2" w:rsidRDefault="008650A2"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rPr>
      </w:pPr>
    </w:p>
    <w:p w14:paraId="1B4D5674" w14:textId="77777777" w:rsidR="00892602" w:rsidRDefault="00892602"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rPr>
      </w:pPr>
    </w:p>
    <w:p w14:paraId="1E8364C8" w14:textId="77777777" w:rsidR="00892602" w:rsidRDefault="00892602"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rPr>
      </w:pPr>
    </w:p>
    <w:p w14:paraId="60997B37" w14:textId="77777777" w:rsidR="00892602" w:rsidRDefault="00892602"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rPr>
      </w:pPr>
    </w:p>
    <w:p w14:paraId="011E819A" w14:textId="77777777" w:rsidR="00892602" w:rsidRDefault="00892602"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rPr>
      </w:pPr>
    </w:p>
    <w:p w14:paraId="6A7DA46D" w14:textId="77777777" w:rsidR="00892602" w:rsidRDefault="00892602"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rPr>
      </w:pPr>
    </w:p>
    <w:p w14:paraId="05727591" w14:textId="77777777" w:rsidR="00892602" w:rsidRDefault="00892602"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rPr>
      </w:pPr>
    </w:p>
    <w:p w14:paraId="69F48097" w14:textId="77777777" w:rsidR="00E33435" w:rsidRDefault="00E33435"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rPr>
      </w:pPr>
    </w:p>
    <w:p w14:paraId="72FA9E28" w14:textId="77777777" w:rsidR="00E33435" w:rsidRDefault="00E33435"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rPr>
      </w:pPr>
    </w:p>
    <w:p w14:paraId="26976C4A" w14:textId="77777777" w:rsidR="00892602" w:rsidRDefault="00892602"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rPr>
      </w:pPr>
    </w:p>
    <w:p w14:paraId="27B97951" w14:textId="77777777" w:rsidR="00892602" w:rsidRDefault="00892602"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rPr>
      </w:pPr>
    </w:p>
    <w:p w14:paraId="07A0B4DB" w14:textId="39672C78" w:rsidR="00D74F98" w:rsidRDefault="00361A87"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r w:rsidRPr="00361A87">
        <w:rPr>
          <w:rFonts w:asciiTheme="minorHAnsi" w:hAnsiTheme="minorHAnsi" w:cstheme="minorHAnsi"/>
          <w:b/>
          <w:sz w:val="24"/>
          <w:szCs w:val="24"/>
        </w:rPr>
        <w:lastRenderedPageBreak/>
        <w:t>WORKS CITED</w:t>
      </w:r>
    </w:p>
    <w:p w14:paraId="1B0A79E3" w14:textId="77777777" w:rsidR="00361A87" w:rsidRDefault="00361A87"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
          <w:sz w:val="24"/>
          <w:szCs w:val="24"/>
        </w:rPr>
      </w:pPr>
    </w:p>
    <w:p w14:paraId="703E4342" w14:textId="6B86D0B6" w:rsid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r w:rsidRPr="009A5A03">
        <w:rPr>
          <w:rFonts w:asciiTheme="minorHAnsi" w:hAnsiTheme="minorHAnsi" w:cstheme="minorHAnsi"/>
          <w:bCs/>
          <w:sz w:val="24"/>
          <w:szCs w:val="24"/>
        </w:rPr>
        <w:t xml:space="preserve">Danish Ministry of Foreign Affairs. </w:t>
      </w:r>
      <w:r w:rsidRPr="009A5A03">
        <w:rPr>
          <w:rFonts w:asciiTheme="minorHAnsi" w:hAnsiTheme="minorHAnsi" w:cstheme="minorHAnsi"/>
          <w:bCs/>
          <w:i/>
          <w:iCs/>
          <w:sz w:val="24"/>
          <w:szCs w:val="24"/>
        </w:rPr>
        <w:t>Development Cooperation Strategy 2023–2027</w:t>
      </w:r>
      <w:r w:rsidRPr="009A5A03">
        <w:rPr>
          <w:rFonts w:asciiTheme="minorHAnsi" w:hAnsiTheme="minorHAnsi" w:cstheme="minorHAnsi"/>
          <w:bCs/>
          <w:sz w:val="24"/>
          <w:szCs w:val="24"/>
        </w:rPr>
        <w:t xml:space="preserve">. Ministry of Foreign Affairs of Denmark, 2023, </w:t>
      </w:r>
      <w:hyperlink r:id="rId7" w:history="1">
        <w:r w:rsidRPr="009A5A03">
          <w:rPr>
            <w:rStyle w:val="Hyperlink"/>
            <w:rFonts w:asciiTheme="minorHAnsi" w:hAnsiTheme="minorHAnsi" w:cstheme="minorHAnsi"/>
            <w:bCs/>
            <w:sz w:val="24"/>
            <w:szCs w:val="24"/>
          </w:rPr>
          <w:t>https://um.dk</w:t>
        </w:r>
      </w:hyperlink>
      <w:r w:rsidRPr="009A5A03">
        <w:rPr>
          <w:rFonts w:asciiTheme="minorHAnsi" w:hAnsiTheme="minorHAnsi" w:cstheme="minorHAnsi"/>
          <w:bCs/>
          <w:sz w:val="24"/>
          <w:szCs w:val="24"/>
        </w:rPr>
        <w:t>.</w:t>
      </w:r>
    </w:p>
    <w:p w14:paraId="0DA7683A" w14:textId="77777777" w:rsidR="009A5A03" w:rsidRP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p>
    <w:p w14:paraId="1FA73689" w14:textId="3C96D1C1" w:rsid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r w:rsidRPr="009A5A03">
        <w:rPr>
          <w:rFonts w:asciiTheme="minorHAnsi" w:hAnsiTheme="minorHAnsi" w:cstheme="minorHAnsi"/>
          <w:bCs/>
          <w:sz w:val="24"/>
          <w:szCs w:val="24"/>
        </w:rPr>
        <w:t xml:space="preserve">Department for Work and Pensions. </w:t>
      </w:r>
      <w:r w:rsidRPr="009A5A03">
        <w:rPr>
          <w:rFonts w:asciiTheme="minorHAnsi" w:hAnsiTheme="minorHAnsi" w:cstheme="minorHAnsi"/>
          <w:bCs/>
          <w:i/>
          <w:iCs/>
          <w:sz w:val="24"/>
          <w:szCs w:val="24"/>
        </w:rPr>
        <w:t>Family Resources Survey, United Kingdom 2022 to 2023</w:t>
      </w:r>
      <w:r w:rsidRPr="009A5A03">
        <w:rPr>
          <w:rFonts w:asciiTheme="minorHAnsi" w:hAnsiTheme="minorHAnsi" w:cstheme="minorHAnsi"/>
          <w:bCs/>
          <w:sz w:val="24"/>
          <w:szCs w:val="24"/>
        </w:rPr>
        <w:t xml:space="preserve">. UK Government, 2023, </w:t>
      </w:r>
      <w:hyperlink r:id="rId8" w:history="1">
        <w:r w:rsidRPr="009A5A03">
          <w:rPr>
            <w:rStyle w:val="Hyperlink"/>
            <w:rFonts w:asciiTheme="minorHAnsi" w:hAnsiTheme="minorHAnsi" w:cstheme="minorHAnsi"/>
            <w:bCs/>
            <w:sz w:val="24"/>
            <w:szCs w:val="24"/>
          </w:rPr>
          <w:t>https://www.gov.uk/government/statistics</w:t>
        </w:r>
      </w:hyperlink>
      <w:r w:rsidRPr="009A5A03">
        <w:rPr>
          <w:rFonts w:asciiTheme="minorHAnsi" w:hAnsiTheme="minorHAnsi" w:cstheme="minorHAnsi"/>
          <w:bCs/>
          <w:sz w:val="24"/>
          <w:szCs w:val="24"/>
        </w:rPr>
        <w:t>.</w:t>
      </w:r>
    </w:p>
    <w:p w14:paraId="327CF4D5" w14:textId="77777777" w:rsidR="009A5A03" w:rsidRP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p>
    <w:p w14:paraId="6CE3ED79" w14:textId="5F0FB9E3" w:rsid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r w:rsidRPr="009A5A03">
        <w:rPr>
          <w:rFonts w:asciiTheme="minorHAnsi" w:hAnsiTheme="minorHAnsi" w:cstheme="minorHAnsi"/>
          <w:bCs/>
          <w:sz w:val="24"/>
          <w:szCs w:val="24"/>
        </w:rPr>
        <w:t xml:space="preserve">Defra. </w:t>
      </w:r>
      <w:r w:rsidRPr="009A5A03">
        <w:rPr>
          <w:rFonts w:asciiTheme="minorHAnsi" w:hAnsiTheme="minorHAnsi" w:cstheme="minorHAnsi"/>
          <w:bCs/>
          <w:i/>
          <w:iCs/>
          <w:sz w:val="24"/>
          <w:szCs w:val="24"/>
        </w:rPr>
        <w:t>Agricultural Land Use in the United Kingdom</w:t>
      </w:r>
      <w:r w:rsidRPr="009A5A03">
        <w:rPr>
          <w:rFonts w:asciiTheme="minorHAnsi" w:hAnsiTheme="minorHAnsi" w:cstheme="minorHAnsi"/>
          <w:bCs/>
          <w:sz w:val="24"/>
          <w:szCs w:val="24"/>
        </w:rPr>
        <w:t xml:space="preserve">. Department for Environment, Food and Rural Affairs, 2024, </w:t>
      </w:r>
      <w:hyperlink r:id="rId9" w:history="1">
        <w:r w:rsidRPr="009A5A03">
          <w:rPr>
            <w:rStyle w:val="Hyperlink"/>
            <w:rFonts w:asciiTheme="minorHAnsi" w:hAnsiTheme="minorHAnsi" w:cstheme="minorHAnsi"/>
            <w:bCs/>
            <w:sz w:val="24"/>
            <w:szCs w:val="24"/>
          </w:rPr>
          <w:t>https://www.gov.uk/government/statistics</w:t>
        </w:r>
      </w:hyperlink>
      <w:r w:rsidRPr="009A5A03">
        <w:rPr>
          <w:rFonts w:asciiTheme="minorHAnsi" w:hAnsiTheme="minorHAnsi" w:cstheme="minorHAnsi"/>
          <w:bCs/>
          <w:sz w:val="24"/>
          <w:szCs w:val="24"/>
        </w:rPr>
        <w:t>.</w:t>
      </w:r>
    </w:p>
    <w:p w14:paraId="118788A1" w14:textId="77777777" w:rsidR="009A5A03" w:rsidRP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p>
    <w:p w14:paraId="7F1A34A3" w14:textId="16F1254E" w:rsid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r w:rsidRPr="009A5A03">
        <w:rPr>
          <w:rFonts w:asciiTheme="minorHAnsi" w:hAnsiTheme="minorHAnsi" w:cstheme="minorHAnsi"/>
          <w:bCs/>
          <w:sz w:val="24"/>
          <w:szCs w:val="24"/>
        </w:rPr>
        <w:t xml:space="preserve">Defra. </w:t>
      </w:r>
      <w:r w:rsidRPr="009A5A03">
        <w:rPr>
          <w:rFonts w:asciiTheme="minorHAnsi" w:hAnsiTheme="minorHAnsi" w:cstheme="minorHAnsi"/>
          <w:bCs/>
          <w:i/>
          <w:iCs/>
          <w:sz w:val="24"/>
          <w:szCs w:val="24"/>
        </w:rPr>
        <w:t>Agriculture in the United Kingdom, 2024</w:t>
      </w:r>
      <w:r w:rsidRPr="009A5A03">
        <w:rPr>
          <w:rFonts w:asciiTheme="minorHAnsi" w:hAnsiTheme="minorHAnsi" w:cstheme="minorHAnsi"/>
          <w:bCs/>
          <w:sz w:val="24"/>
          <w:szCs w:val="24"/>
        </w:rPr>
        <w:t xml:space="preserve">. Department for Environment, Food and Rural Affairs, 2024, </w:t>
      </w:r>
      <w:hyperlink r:id="rId10" w:history="1">
        <w:r w:rsidRPr="009A5A03">
          <w:rPr>
            <w:rStyle w:val="Hyperlink"/>
            <w:rFonts w:asciiTheme="minorHAnsi" w:hAnsiTheme="minorHAnsi" w:cstheme="minorHAnsi"/>
            <w:bCs/>
            <w:sz w:val="24"/>
            <w:szCs w:val="24"/>
          </w:rPr>
          <w:t>https://www.gov.uk/government/statistics</w:t>
        </w:r>
      </w:hyperlink>
      <w:r w:rsidRPr="009A5A03">
        <w:rPr>
          <w:rFonts w:asciiTheme="minorHAnsi" w:hAnsiTheme="minorHAnsi" w:cstheme="minorHAnsi"/>
          <w:bCs/>
          <w:sz w:val="24"/>
          <w:szCs w:val="24"/>
        </w:rPr>
        <w:t>.</w:t>
      </w:r>
    </w:p>
    <w:p w14:paraId="14387216" w14:textId="77777777" w:rsidR="009A5A03" w:rsidRP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p>
    <w:p w14:paraId="2B6250D2" w14:textId="642B5DFF" w:rsid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r w:rsidRPr="009A5A03">
        <w:rPr>
          <w:rFonts w:asciiTheme="minorHAnsi" w:hAnsiTheme="minorHAnsi" w:cstheme="minorHAnsi"/>
          <w:bCs/>
          <w:sz w:val="24"/>
          <w:szCs w:val="24"/>
        </w:rPr>
        <w:t xml:space="preserve">Defra. </w:t>
      </w:r>
      <w:r w:rsidRPr="009A5A03">
        <w:rPr>
          <w:rFonts w:asciiTheme="minorHAnsi" w:hAnsiTheme="minorHAnsi" w:cstheme="minorHAnsi"/>
          <w:bCs/>
          <w:i/>
          <w:iCs/>
          <w:sz w:val="24"/>
          <w:szCs w:val="24"/>
        </w:rPr>
        <w:t>Family Food FYE 2023</w:t>
      </w:r>
      <w:r w:rsidRPr="009A5A03">
        <w:rPr>
          <w:rFonts w:asciiTheme="minorHAnsi" w:hAnsiTheme="minorHAnsi" w:cstheme="minorHAnsi"/>
          <w:bCs/>
          <w:sz w:val="24"/>
          <w:szCs w:val="24"/>
        </w:rPr>
        <w:t xml:space="preserve">. Department for Environment, Food and Rural Affairs, 2023, </w:t>
      </w:r>
      <w:hyperlink r:id="rId11" w:history="1">
        <w:r w:rsidRPr="009A5A03">
          <w:rPr>
            <w:rStyle w:val="Hyperlink"/>
            <w:rFonts w:asciiTheme="minorHAnsi" w:hAnsiTheme="minorHAnsi" w:cstheme="minorHAnsi"/>
            <w:bCs/>
            <w:sz w:val="24"/>
            <w:szCs w:val="24"/>
          </w:rPr>
          <w:t>https://www.gov.uk/government/statistics</w:t>
        </w:r>
      </w:hyperlink>
      <w:r w:rsidRPr="009A5A03">
        <w:rPr>
          <w:rFonts w:asciiTheme="minorHAnsi" w:hAnsiTheme="minorHAnsi" w:cstheme="minorHAnsi"/>
          <w:bCs/>
          <w:sz w:val="24"/>
          <w:szCs w:val="24"/>
        </w:rPr>
        <w:t>.</w:t>
      </w:r>
    </w:p>
    <w:p w14:paraId="68FDF36C" w14:textId="77777777" w:rsidR="009A5A03" w:rsidRP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p>
    <w:p w14:paraId="75C348A6" w14:textId="197A2A34" w:rsid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r w:rsidRPr="009A5A03">
        <w:rPr>
          <w:rFonts w:asciiTheme="minorHAnsi" w:hAnsiTheme="minorHAnsi" w:cstheme="minorHAnsi"/>
          <w:bCs/>
          <w:sz w:val="24"/>
          <w:szCs w:val="24"/>
        </w:rPr>
        <w:t xml:space="preserve">Food Foundation. </w:t>
      </w:r>
      <w:r w:rsidRPr="009A5A03">
        <w:rPr>
          <w:rFonts w:asciiTheme="minorHAnsi" w:hAnsiTheme="minorHAnsi" w:cstheme="minorHAnsi"/>
          <w:bCs/>
          <w:i/>
          <w:iCs/>
          <w:sz w:val="24"/>
          <w:szCs w:val="24"/>
        </w:rPr>
        <w:t>Food Insecurity Tracker 2023–2024</w:t>
      </w:r>
      <w:r w:rsidRPr="009A5A03">
        <w:rPr>
          <w:rFonts w:asciiTheme="minorHAnsi" w:hAnsiTheme="minorHAnsi" w:cstheme="minorHAnsi"/>
          <w:bCs/>
          <w:sz w:val="24"/>
          <w:szCs w:val="24"/>
        </w:rPr>
        <w:t xml:space="preserve">. Food Foundation, 2024, </w:t>
      </w:r>
      <w:hyperlink r:id="rId12" w:history="1">
        <w:r w:rsidRPr="009A5A03">
          <w:rPr>
            <w:rStyle w:val="Hyperlink"/>
            <w:rFonts w:asciiTheme="minorHAnsi" w:hAnsiTheme="minorHAnsi" w:cstheme="minorHAnsi"/>
            <w:bCs/>
            <w:sz w:val="24"/>
            <w:szCs w:val="24"/>
          </w:rPr>
          <w:t>https://foodfoundation.org.uk</w:t>
        </w:r>
      </w:hyperlink>
      <w:r w:rsidRPr="009A5A03">
        <w:rPr>
          <w:rFonts w:asciiTheme="minorHAnsi" w:hAnsiTheme="minorHAnsi" w:cstheme="minorHAnsi"/>
          <w:bCs/>
          <w:sz w:val="24"/>
          <w:szCs w:val="24"/>
        </w:rPr>
        <w:t>.</w:t>
      </w:r>
    </w:p>
    <w:p w14:paraId="208646DC" w14:textId="77777777" w:rsidR="009A5A03" w:rsidRP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p>
    <w:p w14:paraId="5FC709A1" w14:textId="7C0FA122" w:rsid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r w:rsidRPr="009A5A03">
        <w:rPr>
          <w:rFonts w:asciiTheme="minorHAnsi" w:hAnsiTheme="minorHAnsi" w:cstheme="minorHAnsi"/>
          <w:bCs/>
          <w:sz w:val="24"/>
          <w:szCs w:val="24"/>
        </w:rPr>
        <w:t xml:space="preserve">Foreign, Commonwealth &amp; Development Office (FCDO). </w:t>
      </w:r>
      <w:r w:rsidRPr="009A5A03">
        <w:rPr>
          <w:rFonts w:asciiTheme="minorHAnsi" w:hAnsiTheme="minorHAnsi" w:cstheme="minorHAnsi"/>
          <w:bCs/>
          <w:i/>
          <w:iCs/>
          <w:sz w:val="24"/>
          <w:szCs w:val="24"/>
        </w:rPr>
        <w:t>Statistics on International Development: Final UK ODA Spend 2023</w:t>
      </w:r>
      <w:r w:rsidRPr="009A5A03">
        <w:rPr>
          <w:rFonts w:asciiTheme="minorHAnsi" w:hAnsiTheme="minorHAnsi" w:cstheme="minorHAnsi"/>
          <w:bCs/>
          <w:sz w:val="24"/>
          <w:szCs w:val="24"/>
        </w:rPr>
        <w:t xml:space="preserve">. UK Government, 2024, </w:t>
      </w:r>
      <w:hyperlink r:id="rId13" w:history="1">
        <w:r w:rsidRPr="009A5A03">
          <w:rPr>
            <w:rStyle w:val="Hyperlink"/>
            <w:rFonts w:asciiTheme="minorHAnsi" w:hAnsiTheme="minorHAnsi" w:cstheme="minorHAnsi"/>
            <w:bCs/>
            <w:sz w:val="24"/>
            <w:szCs w:val="24"/>
          </w:rPr>
          <w:t>https://www.gov.uk/government/statistics</w:t>
        </w:r>
      </w:hyperlink>
      <w:r w:rsidRPr="009A5A03">
        <w:rPr>
          <w:rFonts w:asciiTheme="minorHAnsi" w:hAnsiTheme="minorHAnsi" w:cstheme="minorHAnsi"/>
          <w:bCs/>
          <w:sz w:val="24"/>
          <w:szCs w:val="24"/>
        </w:rPr>
        <w:t>.</w:t>
      </w:r>
    </w:p>
    <w:p w14:paraId="263E40D6" w14:textId="77777777" w:rsidR="009A5A03" w:rsidRP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p>
    <w:p w14:paraId="71C9531B" w14:textId="1A42D50F" w:rsid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r w:rsidRPr="009A5A03">
        <w:rPr>
          <w:rFonts w:asciiTheme="minorHAnsi" w:hAnsiTheme="minorHAnsi" w:cstheme="minorHAnsi"/>
          <w:bCs/>
          <w:sz w:val="24"/>
          <w:szCs w:val="24"/>
        </w:rPr>
        <w:t xml:space="preserve">House of Commons Library. </w:t>
      </w:r>
      <w:r w:rsidRPr="009A5A03">
        <w:rPr>
          <w:rFonts w:asciiTheme="minorHAnsi" w:hAnsiTheme="minorHAnsi" w:cstheme="minorHAnsi"/>
          <w:bCs/>
          <w:i/>
          <w:iCs/>
          <w:sz w:val="24"/>
          <w:szCs w:val="24"/>
        </w:rPr>
        <w:t>Households off the Gas Grid</w:t>
      </w:r>
      <w:r w:rsidRPr="009A5A03">
        <w:rPr>
          <w:rFonts w:asciiTheme="minorHAnsi" w:hAnsiTheme="minorHAnsi" w:cstheme="minorHAnsi"/>
          <w:bCs/>
          <w:sz w:val="24"/>
          <w:szCs w:val="24"/>
        </w:rPr>
        <w:t xml:space="preserve">. House of Commons, 2023, </w:t>
      </w:r>
      <w:hyperlink r:id="rId14" w:history="1">
        <w:r w:rsidRPr="009A5A03">
          <w:rPr>
            <w:rStyle w:val="Hyperlink"/>
            <w:rFonts w:asciiTheme="minorHAnsi" w:hAnsiTheme="minorHAnsi" w:cstheme="minorHAnsi"/>
            <w:bCs/>
            <w:sz w:val="24"/>
            <w:szCs w:val="24"/>
          </w:rPr>
          <w:t>https://commonslibrary.parliament.uk</w:t>
        </w:r>
      </w:hyperlink>
      <w:r w:rsidRPr="009A5A03">
        <w:rPr>
          <w:rFonts w:asciiTheme="minorHAnsi" w:hAnsiTheme="minorHAnsi" w:cstheme="minorHAnsi"/>
          <w:bCs/>
          <w:sz w:val="24"/>
          <w:szCs w:val="24"/>
        </w:rPr>
        <w:t>.</w:t>
      </w:r>
    </w:p>
    <w:p w14:paraId="6D524377" w14:textId="77777777" w:rsidR="009A5A03" w:rsidRP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p>
    <w:p w14:paraId="5386290B" w14:textId="7156A9D4" w:rsid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r w:rsidRPr="009A5A03">
        <w:rPr>
          <w:rFonts w:asciiTheme="minorHAnsi" w:hAnsiTheme="minorHAnsi" w:cstheme="minorHAnsi"/>
          <w:bCs/>
          <w:sz w:val="24"/>
          <w:szCs w:val="24"/>
        </w:rPr>
        <w:t xml:space="preserve">House of Commons Library. </w:t>
      </w:r>
      <w:r w:rsidRPr="009A5A03">
        <w:rPr>
          <w:rFonts w:asciiTheme="minorHAnsi" w:hAnsiTheme="minorHAnsi" w:cstheme="minorHAnsi"/>
          <w:bCs/>
          <w:i/>
          <w:iCs/>
          <w:sz w:val="24"/>
          <w:szCs w:val="24"/>
        </w:rPr>
        <w:t>Statistics on International Development</w:t>
      </w:r>
      <w:r w:rsidRPr="009A5A03">
        <w:rPr>
          <w:rFonts w:asciiTheme="minorHAnsi" w:hAnsiTheme="minorHAnsi" w:cstheme="minorHAnsi"/>
          <w:bCs/>
          <w:sz w:val="24"/>
          <w:szCs w:val="24"/>
        </w:rPr>
        <w:t xml:space="preserve">. House of Commons, 2024, </w:t>
      </w:r>
      <w:hyperlink r:id="rId15" w:history="1">
        <w:r w:rsidRPr="009A5A03">
          <w:rPr>
            <w:rStyle w:val="Hyperlink"/>
            <w:rFonts w:asciiTheme="minorHAnsi" w:hAnsiTheme="minorHAnsi" w:cstheme="minorHAnsi"/>
            <w:bCs/>
            <w:sz w:val="24"/>
            <w:szCs w:val="24"/>
          </w:rPr>
          <w:t>https://commonslibrary.parliament.uk</w:t>
        </w:r>
      </w:hyperlink>
      <w:r w:rsidRPr="009A5A03">
        <w:rPr>
          <w:rFonts w:asciiTheme="minorHAnsi" w:hAnsiTheme="minorHAnsi" w:cstheme="minorHAnsi"/>
          <w:bCs/>
          <w:sz w:val="24"/>
          <w:szCs w:val="24"/>
        </w:rPr>
        <w:t>.</w:t>
      </w:r>
    </w:p>
    <w:p w14:paraId="152D1D1D" w14:textId="77777777" w:rsidR="009A5A03" w:rsidRP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p>
    <w:p w14:paraId="5CE17D1C" w14:textId="488ED363" w:rsid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r w:rsidRPr="009A5A03">
        <w:rPr>
          <w:rFonts w:asciiTheme="minorHAnsi" w:hAnsiTheme="minorHAnsi" w:cstheme="minorHAnsi"/>
          <w:bCs/>
          <w:sz w:val="24"/>
          <w:szCs w:val="24"/>
        </w:rPr>
        <w:t xml:space="preserve">House of Lords Library. </w:t>
      </w:r>
      <w:r w:rsidRPr="009A5A03">
        <w:rPr>
          <w:rFonts w:asciiTheme="minorHAnsi" w:hAnsiTheme="minorHAnsi" w:cstheme="minorHAnsi"/>
          <w:bCs/>
          <w:i/>
          <w:iCs/>
          <w:sz w:val="24"/>
          <w:szCs w:val="24"/>
        </w:rPr>
        <w:t>International Development: UK Aid Levels and Debates</w:t>
      </w:r>
      <w:r w:rsidRPr="009A5A03">
        <w:rPr>
          <w:rFonts w:asciiTheme="minorHAnsi" w:hAnsiTheme="minorHAnsi" w:cstheme="minorHAnsi"/>
          <w:bCs/>
          <w:sz w:val="24"/>
          <w:szCs w:val="24"/>
        </w:rPr>
        <w:t xml:space="preserve">. House of Lords, 2025, </w:t>
      </w:r>
      <w:hyperlink r:id="rId16" w:history="1">
        <w:r w:rsidRPr="009A5A03">
          <w:rPr>
            <w:rStyle w:val="Hyperlink"/>
            <w:rFonts w:asciiTheme="minorHAnsi" w:hAnsiTheme="minorHAnsi" w:cstheme="minorHAnsi"/>
            <w:bCs/>
            <w:sz w:val="24"/>
            <w:szCs w:val="24"/>
          </w:rPr>
          <w:t>https://lordslibrary.parliament.uk</w:t>
        </w:r>
      </w:hyperlink>
      <w:r w:rsidRPr="009A5A03">
        <w:rPr>
          <w:rFonts w:asciiTheme="minorHAnsi" w:hAnsiTheme="minorHAnsi" w:cstheme="minorHAnsi"/>
          <w:bCs/>
          <w:sz w:val="24"/>
          <w:szCs w:val="24"/>
        </w:rPr>
        <w:t>.</w:t>
      </w:r>
    </w:p>
    <w:p w14:paraId="644FFB06" w14:textId="77777777" w:rsidR="009A5A03" w:rsidRP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p>
    <w:p w14:paraId="51898D83" w14:textId="5DD8EE4D" w:rsid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r w:rsidRPr="009A5A03">
        <w:rPr>
          <w:rFonts w:asciiTheme="minorHAnsi" w:hAnsiTheme="minorHAnsi" w:cstheme="minorHAnsi"/>
          <w:bCs/>
          <w:sz w:val="24"/>
          <w:szCs w:val="24"/>
        </w:rPr>
        <w:t xml:space="preserve">HM Treasury. </w:t>
      </w:r>
      <w:r w:rsidRPr="009A5A03">
        <w:rPr>
          <w:rFonts w:asciiTheme="minorHAnsi" w:hAnsiTheme="minorHAnsi" w:cstheme="minorHAnsi"/>
          <w:bCs/>
          <w:i/>
          <w:iCs/>
          <w:sz w:val="24"/>
          <w:szCs w:val="24"/>
        </w:rPr>
        <w:t>Debt Interest and Fiscal Indicators, 2024–2025</w:t>
      </w:r>
      <w:r w:rsidRPr="009A5A03">
        <w:rPr>
          <w:rFonts w:asciiTheme="minorHAnsi" w:hAnsiTheme="minorHAnsi" w:cstheme="minorHAnsi"/>
          <w:bCs/>
          <w:sz w:val="24"/>
          <w:szCs w:val="24"/>
        </w:rPr>
        <w:t xml:space="preserve">. UK Government, 2025, </w:t>
      </w:r>
      <w:hyperlink r:id="rId17" w:history="1">
        <w:r w:rsidRPr="009A5A03">
          <w:rPr>
            <w:rStyle w:val="Hyperlink"/>
            <w:rFonts w:asciiTheme="minorHAnsi" w:hAnsiTheme="minorHAnsi" w:cstheme="minorHAnsi"/>
            <w:bCs/>
            <w:sz w:val="24"/>
            <w:szCs w:val="24"/>
          </w:rPr>
          <w:t>https://www.gov.uk/government/statistics</w:t>
        </w:r>
      </w:hyperlink>
      <w:r w:rsidRPr="009A5A03">
        <w:rPr>
          <w:rFonts w:asciiTheme="minorHAnsi" w:hAnsiTheme="minorHAnsi" w:cstheme="minorHAnsi"/>
          <w:bCs/>
          <w:sz w:val="24"/>
          <w:szCs w:val="24"/>
        </w:rPr>
        <w:t>.</w:t>
      </w:r>
    </w:p>
    <w:p w14:paraId="57BAD034" w14:textId="77777777" w:rsidR="009A5A03" w:rsidRP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p>
    <w:p w14:paraId="2506BB79" w14:textId="0649CE23" w:rsid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r w:rsidRPr="009A5A03">
        <w:rPr>
          <w:rFonts w:asciiTheme="minorHAnsi" w:hAnsiTheme="minorHAnsi" w:cstheme="minorHAnsi"/>
          <w:bCs/>
          <w:sz w:val="24"/>
          <w:szCs w:val="24"/>
        </w:rPr>
        <w:t xml:space="preserve">Institute for Government. </w:t>
      </w:r>
      <w:r w:rsidRPr="009A5A03">
        <w:rPr>
          <w:rFonts w:asciiTheme="minorHAnsi" w:hAnsiTheme="minorHAnsi" w:cstheme="minorHAnsi"/>
          <w:bCs/>
          <w:i/>
          <w:iCs/>
          <w:sz w:val="24"/>
          <w:szCs w:val="24"/>
        </w:rPr>
        <w:t>UK Fiscal Policy and Public Spending Report 2024</w:t>
      </w:r>
      <w:r w:rsidRPr="009A5A03">
        <w:rPr>
          <w:rFonts w:asciiTheme="minorHAnsi" w:hAnsiTheme="minorHAnsi" w:cstheme="minorHAnsi"/>
          <w:bCs/>
          <w:sz w:val="24"/>
          <w:szCs w:val="24"/>
        </w:rPr>
        <w:t xml:space="preserve">. Institute for Government, 2024, </w:t>
      </w:r>
      <w:hyperlink r:id="rId18" w:history="1">
        <w:r w:rsidRPr="009A5A03">
          <w:rPr>
            <w:rStyle w:val="Hyperlink"/>
            <w:rFonts w:asciiTheme="minorHAnsi" w:hAnsiTheme="minorHAnsi" w:cstheme="minorHAnsi"/>
            <w:bCs/>
            <w:sz w:val="24"/>
            <w:szCs w:val="24"/>
          </w:rPr>
          <w:t>https://www.instituteforgovernment.org.uk</w:t>
        </w:r>
      </w:hyperlink>
      <w:r w:rsidRPr="009A5A03">
        <w:rPr>
          <w:rFonts w:asciiTheme="minorHAnsi" w:hAnsiTheme="minorHAnsi" w:cstheme="minorHAnsi"/>
          <w:bCs/>
          <w:sz w:val="24"/>
          <w:szCs w:val="24"/>
        </w:rPr>
        <w:t>.</w:t>
      </w:r>
    </w:p>
    <w:p w14:paraId="37EF7F42" w14:textId="77777777" w:rsidR="009A5A03" w:rsidRP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p>
    <w:p w14:paraId="0E52E57B" w14:textId="3C751869" w:rsid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r w:rsidRPr="009A5A03">
        <w:rPr>
          <w:rFonts w:asciiTheme="minorHAnsi" w:hAnsiTheme="minorHAnsi" w:cstheme="minorHAnsi"/>
          <w:bCs/>
          <w:sz w:val="24"/>
          <w:szCs w:val="24"/>
        </w:rPr>
        <w:t xml:space="preserve">Joseph Rowntree Foundation. </w:t>
      </w:r>
      <w:r w:rsidRPr="009A5A03">
        <w:rPr>
          <w:rFonts w:asciiTheme="minorHAnsi" w:hAnsiTheme="minorHAnsi" w:cstheme="minorHAnsi"/>
          <w:bCs/>
          <w:i/>
          <w:iCs/>
          <w:sz w:val="24"/>
          <w:szCs w:val="24"/>
        </w:rPr>
        <w:t>UK Poverty Report 2024</w:t>
      </w:r>
      <w:r w:rsidRPr="009A5A03">
        <w:rPr>
          <w:rFonts w:asciiTheme="minorHAnsi" w:hAnsiTheme="minorHAnsi" w:cstheme="minorHAnsi"/>
          <w:bCs/>
          <w:sz w:val="24"/>
          <w:szCs w:val="24"/>
        </w:rPr>
        <w:t xml:space="preserve">. JRF, 2024, </w:t>
      </w:r>
      <w:hyperlink r:id="rId19" w:history="1">
        <w:r w:rsidRPr="009A5A03">
          <w:rPr>
            <w:rStyle w:val="Hyperlink"/>
            <w:rFonts w:asciiTheme="minorHAnsi" w:hAnsiTheme="minorHAnsi" w:cstheme="minorHAnsi"/>
            <w:bCs/>
            <w:sz w:val="24"/>
            <w:szCs w:val="24"/>
          </w:rPr>
          <w:t>https://www.jrf.org.uk</w:t>
        </w:r>
      </w:hyperlink>
      <w:r w:rsidRPr="009A5A03">
        <w:rPr>
          <w:rFonts w:asciiTheme="minorHAnsi" w:hAnsiTheme="minorHAnsi" w:cstheme="minorHAnsi"/>
          <w:bCs/>
          <w:sz w:val="24"/>
          <w:szCs w:val="24"/>
        </w:rPr>
        <w:t>.</w:t>
      </w:r>
    </w:p>
    <w:p w14:paraId="36138CF8" w14:textId="77777777" w:rsidR="009A5A03" w:rsidRP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p>
    <w:p w14:paraId="1D3A4EF7" w14:textId="4576C43C" w:rsid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r w:rsidRPr="009A5A03">
        <w:rPr>
          <w:rFonts w:asciiTheme="minorHAnsi" w:hAnsiTheme="minorHAnsi" w:cstheme="minorHAnsi"/>
          <w:bCs/>
          <w:sz w:val="24"/>
          <w:szCs w:val="24"/>
        </w:rPr>
        <w:t xml:space="preserve">Office for Budget Responsibility (OBR). </w:t>
      </w:r>
      <w:r w:rsidRPr="009A5A03">
        <w:rPr>
          <w:rFonts w:asciiTheme="minorHAnsi" w:hAnsiTheme="minorHAnsi" w:cstheme="minorHAnsi"/>
          <w:bCs/>
          <w:i/>
          <w:iCs/>
          <w:sz w:val="24"/>
          <w:szCs w:val="24"/>
        </w:rPr>
        <w:t>Economic and Fiscal Outlook, March 2024</w:t>
      </w:r>
      <w:r w:rsidRPr="009A5A03">
        <w:rPr>
          <w:rFonts w:asciiTheme="minorHAnsi" w:hAnsiTheme="minorHAnsi" w:cstheme="minorHAnsi"/>
          <w:bCs/>
          <w:sz w:val="24"/>
          <w:szCs w:val="24"/>
        </w:rPr>
        <w:t xml:space="preserve">. OBR, 2024, </w:t>
      </w:r>
      <w:hyperlink r:id="rId20" w:history="1">
        <w:r w:rsidRPr="009A5A03">
          <w:rPr>
            <w:rStyle w:val="Hyperlink"/>
            <w:rFonts w:asciiTheme="minorHAnsi" w:hAnsiTheme="minorHAnsi" w:cstheme="minorHAnsi"/>
            <w:bCs/>
            <w:sz w:val="24"/>
            <w:szCs w:val="24"/>
          </w:rPr>
          <w:t>https://obr.uk</w:t>
        </w:r>
      </w:hyperlink>
      <w:r w:rsidRPr="009A5A03">
        <w:rPr>
          <w:rFonts w:asciiTheme="minorHAnsi" w:hAnsiTheme="minorHAnsi" w:cstheme="minorHAnsi"/>
          <w:bCs/>
          <w:sz w:val="24"/>
          <w:szCs w:val="24"/>
        </w:rPr>
        <w:t>.</w:t>
      </w:r>
    </w:p>
    <w:p w14:paraId="0BF23326" w14:textId="77777777" w:rsidR="009A5A03" w:rsidRP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p>
    <w:p w14:paraId="60F424CF" w14:textId="793F48C3" w:rsid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r w:rsidRPr="009A5A03">
        <w:rPr>
          <w:rFonts w:asciiTheme="minorHAnsi" w:hAnsiTheme="minorHAnsi" w:cstheme="minorHAnsi"/>
          <w:bCs/>
          <w:sz w:val="24"/>
          <w:szCs w:val="24"/>
        </w:rPr>
        <w:lastRenderedPageBreak/>
        <w:t xml:space="preserve">Office for National Statistics (ONS). </w:t>
      </w:r>
      <w:r w:rsidRPr="009A5A03">
        <w:rPr>
          <w:rFonts w:asciiTheme="minorHAnsi" w:hAnsiTheme="minorHAnsi" w:cstheme="minorHAnsi"/>
          <w:bCs/>
          <w:i/>
          <w:iCs/>
          <w:sz w:val="24"/>
          <w:szCs w:val="24"/>
        </w:rPr>
        <w:t>Consumer Price Inflation, UK: 2023</w:t>
      </w:r>
      <w:r w:rsidRPr="009A5A03">
        <w:rPr>
          <w:rFonts w:asciiTheme="minorHAnsi" w:hAnsiTheme="minorHAnsi" w:cstheme="minorHAnsi"/>
          <w:bCs/>
          <w:sz w:val="24"/>
          <w:szCs w:val="24"/>
        </w:rPr>
        <w:t xml:space="preserve">. ONS, 2023, </w:t>
      </w:r>
      <w:hyperlink r:id="rId21" w:history="1">
        <w:r w:rsidRPr="009A5A03">
          <w:rPr>
            <w:rStyle w:val="Hyperlink"/>
            <w:rFonts w:asciiTheme="minorHAnsi" w:hAnsiTheme="minorHAnsi" w:cstheme="minorHAnsi"/>
            <w:bCs/>
            <w:sz w:val="24"/>
            <w:szCs w:val="24"/>
          </w:rPr>
          <w:t>https://www.ons.gov.uk</w:t>
        </w:r>
      </w:hyperlink>
      <w:r w:rsidRPr="009A5A03">
        <w:rPr>
          <w:rFonts w:asciiTheme="minorHAnsi" w:hAnsiTheme="minorHAnsi" w:cstheme="minorHAnsi"/>
          <w:bCs/>
          <w:sz w:val="24"/>
          <w:szCs w:val="24"/>
        </w:rPr>
        <w:t>.</w:t>
      </w:r>
    </w:p>
    <w:p w14:paraId="2473AE75" w14:textId="77777777" w:rsidR="009A5A03" w:rsidRP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p>
    <w:p w14:paraId="1134F331" w14:textId="49229020" w:rsid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r w:rsidRPr="009A5A03">
        <w:rPr>
          <w:rFonts w:asciiTheme="minorHAnsi" w:hAnsiTheme="minorHAnsi" w:cstheme="minorHAnsi"/>
          <w:bCs/>
          <w:sz w:val="24"/>
          <w:szCs w:val="24"/>
        </w:rPr>
        <w:t xml:space="preserve">Office for National Statistics (ONS). </w:t>
      </w:r>
      <w:r w:rsidRPr="009A5A03">
        <w:rPr>
          <w:rFonts w:asciiTheme="minorHAnsi" w:hAnsiTheme="minorHAnsi" w:cstheme="minorHAnsi"/>
          <w:bCs/>
          <w:i/>
          <w:iCs/>
          <w:sz w:val="24"/>
          <w:szCs w:val="24"/>
        </w:rPr>
        <w:t>Living Standards and Household Data</w:t>
      </w:r>
      <w:r w:rsidRPr="009A5A03">
        <w:rPr>
          <w:rFonts w:asciiTheme="minorHAnsi" w:hAnsiTheme="minorHAnsi" w:cstheme="minorHAnsi"/>
          <w:bCs/>
          <w:sz w:val="24"/>
          <w:szCs w:val="24"/>
        </w:rPr>
        <w:t xml:space="preserve">. ONS, 2023, </w:t>
      </w:r>
      <w:hyperlink r:id="rId22" w:history="1">
        <w:r w:rsidRPr="009A5A03">
          <w:rPr>
            <w:rStyle w:val="Hyperlink"/>
            <w:rFonts w:asciiTheme="minorHAnsi" w:hAnsiTheme="minorHAnsi" w:cstheme="minorHAnsi"/>
            <w:bCs/>
            <w:sz w:val="24"/>
            <w:szCs w:val="24"/>
          </w:rPr>
          <w:t>https://www.ons.gov.uk</w:t>
        </w:r>
      </w:hyperlink>
      <w:r w:rsidRPr="009A5A03">
        <w:rPr>
          <w:rFonts w:asciiTheme="minorHAnsi" w:hAnsiTheme="minorHAnsi" w:cstheme="minorHAnsi"/>
          <w:bCs/>
          <w:sz w:val="24"/>
          <w:szCs w:val="24"/>
        </w:rPr>
        <w:t>.</w:t>
      </w:r>
    </w:p>
    <w:p w14:paraId="6119043A" w14:textId="77777777" w:rsidR="009A5A03" w:rsidRP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p>
    <w:p w14:paraId="3762580C" w14:textId="1A3BA85F" w:rsidR="009A5A03" w:rsidRDefault="009001F0"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r w:rsidRPr="009A5A03">
        <w:rPr>
          <w:rFonts w:asciiTheme="minorHAnsi" w:hAnsiTheme="minorHAnsi" w:cstheme="minorHAnsi"/>
          <w:bCs/>
          <w:sz w:val="24"/>
          <w:szCs w:val="24"/>
        </w:rPr>
        <w:t>Organization</w:t>
      </w:r>
      <w:r w:rsidR="009A5A03" w:rsidRPr="009A5A03">
        <w:rPr>
          <w:rFonts w:asciiTheme="minorHAnsi" w:hAnsiTheme="minorHAnsi" w:cstheme="minorHAnsi"/>
          <w:bCs/>
          <w:sz w:val="24"/>
          <w:szCs w:val="24"/>
        </w:rPr>
        <w:t xml:space="preserve"> for Economic Co-operation and Development (OECD). </w:t>
      </w:r>
      <w:r w:rsidR="009A5A03" w:rsidRPr="009A5A03">
        <w:rPr>
          <w:rFonts w:asciiTheme="minorHAnsi" w:hAnsiTheme="minorHAnsi" w:cstheme="minorHAnsi"/>
          <w:bCs/>
          <w:i/>
          <w:iCs/>
          <w:sz w:val="24"/>
          <w:szCs w:val="24"/>
        </w:rPr>
        <w:t>Development Co-operation Report 2017</w:t>
      </w:r>
      <w:r w:rsidR="009A5A03" w:rsidRPr="009A5A03">
        <w:rPr>
          <w:rFonts w:asciiTheme="minorHAnsi" w:hAnsiTheme="minorHAnsi" w:cstheme="minorHAnsi"/>
          <w:bCs/>
          <w:sz w:val="24"/>
          <w:szCs w:val="24"/>
        </w:rPr>
        <w:t>. OECD Publishing, 2017.</w:t>
      </w:r>
    </w:p>
    <w:p w14:paraId="120C01F8" w14:textId="77777777" w:rsidR="009A5A03" w:rsidRP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p>
    <w:p w14:paraId="52D89582" w14:textId="087BD97C" w:rsidR="009A5A03" w:rsidRDefault="009001F0"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r w:rsidRPr="009A5A03">
        <w:rPr>
          <w:rFonts w:asciiTheme="minorHAnsi" w:hAnsiTheme="minorHAnsi" w:cstheme="minorHAnsi"/>
          <w:bCs/>
          <w:sz w:val="24"/>
          <w:szCs w:val="24"/>
        </w:rPr>
        <w:t>Organization</w:t>
      </w:r>
      <w:r w:rsidR="009A5A03" w:rsidRPr="009A5A03">
        <w:rPr>
          <w:rFonts w:asciiTheme="minorHAnsi" w:hAnsiTheme="minorHAnsi" w:cstheme="minorHAnsi"/>
          <w:bCs/>
          <w:sz w:val="24"/>
          <w:szCs w:val="24"/>
        </w:rPr>
        <w:t xml:space="preserve"> for Economic Co-operation and Development (OECD). </w:t>
      </w:r>
      <w:r w:rsidR="009A5A03" w:rsidRPr="009A5A03">
        <w:rPr>
          <w:rFonts w:asciiTheme="minorHAnsi" w:hAnsiTheme="minorHAnsi" w:cstheme="minorHAnsi"/>
          <w:bCs/>
          <w:i/>
          <w:iCs/>
          <w:sz w:val="24"/>
          <w:szCs w:val="24"/>
        </w:rPr>
        <w:t>Development Co-operation Profiles 2023</w:t>
      </w:r>
      <w:r w:rsidR="009A5A03" w:rsidRPr="009A5A03">
        <w:rPr>
          <w:rFonts w:asciiTheme="minorHAnsi" w:hAnsiTheme="minorHAnsi" w:cstheme="minorHAnsi"/>
          <w:bCs/>
          <w:sz w:val="24"/>
          <w:szCs w:val="24"/>
        </w:rPr>
        <w:t>. OECD Publishing, 2023.</w:t>
      </w:r>
    </w:p>
    <w:p w14:paraId="2E0BF89D" w14:textId="77777777" w:rsidR="009A5A03" w:rsidRP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p>
    <w:p w14:paraId="59EC6B33" w14:textId="665AE1E1" w:rsid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r w:rsidRPr="009A5A03">
        <w:rPr>
          <w:rFonts w:asciiTheme="minorHAnsi" w:hAnsiTheme="minorHAnsi" w:cstheme="minorHAnsi"/>
          <w:bCs/>
          <w:sz w:val="24"/>
          <w:szCs w:val="24"/>
        </w:rPr>
        <w:t xml:space="preserve">Overseas Development Institute (ODI). </w:t>
      </w:r>
      <w:r w:rsidRPr="009A5A03">
        <w:rPr>
          <w:rFonts w:asciiTheme="minorHAnsi" w:hAnsiTheme="minorHAnsi" w:cstheme="minorHAnsi"/>
          <w:bCs/>
          <w:i/>
          <w:iCs/>
          <w:sz w:val="24"/>
          <w:szCs w:val="24"/>
        </w:rPr>
        <w:t>The Future of UK Aid: Policy Options</w:t>
      </w:r>
      <w:r w:rsidRPr="009A5A03">
        <w:rPr>
          <w:rFonts w:asciiTheme="minorHAnsi" w:hAnsiTheme="minorHAnsi" w:cstheme="minorHAnsi"/>
          <w:bCs/>
          <w:sz w:val="24"/>
          <w:szCs w:val="24"/>
        </w:rPr>
        <w:t xml:space="preserve">. ODI, 2023, </w:t>
      </w:r>
      <w:hyperlink r:id="rId23" w:history="1">
        <w:r w:rsidRPr="009A5A03">
          <w:rPr>
            <w:rStyle w:val="Hyperlink"/>
            <w:rFonts w:asciiTheme="minorHAnsi" w:hAnsiTheme="minorHAnsi" w:cstheme="minorHAnsi"/>
            <w:bCs/>
            <w:sz w:val="24"/>
            <w:szCs w:val="24"/>
          </w:rPr>
          <w:t>https://odi.org</w:t>
        </w:r>
      </w:hyperlink>
      <w:r w:rsidRPr="009A5A03">
        <w:rPr>
          <w:rFonts w:asciiTheme="minorHAnsi" w:hAnsiTheme="minorHAnsi" w:cstheme="minorHAnsi"/>
          <w:bCs/>
          <w:sz w:val="24"/>
          <w:szCs w:val="24"/>
        </w:rPr>
        <w:t>.</w:t>
      </w:r>
    </w:p>
    <w:p w14:paraId="5F742577" w14:textId="77777777" w:rsidR="009A5A03" w:rsidRP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p>
    <w:p w14:paraId="5DD96E99" w14:textId="2C74E598" w:rsid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r w:rsidRPr="009A5A03">
        <w:rPr>
          <w:rFonts w:asciiTheme="minorHAnsi" w:hAnsiTheme="minorHAnsi" w:cstheme="minorHAnsi"/>
          <w:bCs/>
          <w:sz w:val="24"/>
          <w:szCs w:val="24"/>
        </w:rPr>
        <w:t xml:space="preserve">Trussell Trust. </w:t>
      </w:r>
      <w:r w:rsidRPr="009A5A03">
        <w:rPr>
          <w:rFonts w:asciiTheme="minorHAnsi" w:hAnsiTheme="minorHAnsi" w:cstheme="minorHAnsi"/>
          <w:bCs/>
          <w:i/>
          <w:iCs/>
          <w:sz w:val="24"/>
          <w:szCs w:val="24"/>
        </w:rPr>
        <w:t>End of Year Statistics 2023–2024</w:t>
      </w:r>
      <w:r w:rsidRPr="009A5A03">
        <w:rPr>
          <w:rFonts w:asciiTheme="minorHAnsi" w:hAnsiTheme="minorHAnsi" w:cstheme="minorHAnsi"/>
          <w:bCs/>
          <w:sz w:val="24"/>
          <w:szCs w:val="24"/>
        </w:rPr>
        <w:t xml:space="preserve">. Trussell Trust, 2024, </w:t>
      </w:r>
      <w:hyperlink r:id="rId24" w:history="1">
        <w:r w:rsidRPr="009A5A03">
          <w:rPr>
            <w:rStyle w:val="Hyperlink"/>
            <w:rFonts w:asciiTheme="minorHAnsi" w:hAnsiTheme="minorHAnsi" w:cstheme="minorHAnsi"/>
            <w:bCs/>
            <w:sz w:val="24"/>
            <w:szCs w:val="24"/>
          </w:rPr>
          <w:t>https://www.trusselltrust.org</w:t>
        </w:r>
      </w:hyperlink>
      <w:r w:rsidRPr="009A5A03">
        <w:rPr>
          <w:rFonts w:asciiTheme="minorHAnsi" w:hAnsiTheme="minorHAnsi" w:cstheme="minorHAnsi"/>
          <w:bCs/>
          <w:sz w:val="24"/>
          <w:szCs w:val="24"/>
        </w:rPr>
        <w:t>.</w:t>
      </w:r>
    </w:p>
    <w:p w14:paraId="41AABBEC" w14:textId="77777777" w:rsidR="009A5A03" w:rsidRP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p>
    <w:p w14:paraId="7974D312" w14:textId="45758AE7" w:rsid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r w:rsidRPr="009A5A03">
        <w:rPr>
          <w:rFonts w:asciiTheme="minorHAnsi" w:hAnsiTheme="minorHAnsi" w:cstheme="minorHAnsi"/>
          <w:bCs/>
          <w:sz w:val="24"/>
          <w:szCs w:val="24"/>
        </w:rPr>
        <w:t xml:space="preserve">World Bank. </w:t>
      </w:r>
      <w:r w:rsidRPr="009A5A03">
        <w:rPr>
          <w:rFonts w:asciiTheme="minorHAnsi" w:hAnsiTheme="minorHAnsi" w:cstheme="minorHAnsi"/>
          <w:bCs/>
          <w:i/>
          <w:iCs/>
          <w:sz w:val="24"/>
          <w:szCs w:val="24"/>
        </w:rPr>
        <w:t>World Development Indicators: United Kingdom</w:t>
      </w:r>
      <w:r w:rsidRPr="009A5A03">
        <w:rPr>
          <w:rFonts w:asciiTheme="minorHAnsi" w:hAnsiTheme="minorHAnsi" w:cstheme="minorHAnsi"/>
          <w:bCs/>
          <w:sz w:val="24"/>
          <w:szCs w:val="24"/>
        </w:rPr>
        <w:t xml:space="preserve">. World Bank, 2024, </w:t>
      </w:r>
      <w:hyperlink r:id="rId25" w:history="1">
        <w:r w:rsidRPr="009A5A03">
          <w:rPr>
            <w:rStyle w:val="Hyperlink"/>
            <w:rFonts w:asciiTheme="minorHAnsi" w:hAnsiTheme="minorHAnsi" w:cstheme="minorHAnsi"/>
            <w:bCs/>
            <w:sz w:val="24"/>
            <w:szCs w:val="24"/>
          </w:rPr>
          <w:t>https://data.worldbank.org</w:t>
        </w:r>
      </w:hyperlink>
      <w:r w:rsidRPr="009A5A03">
        <w:rPr>
          <w:rFonts w:asciiTheme="minorHAnsi" w:hAnsiTheme="minorHAnsi" w:cstheme="minorHAnsi"/>
          <w:bCs/>
          <w:sz w:val="24"/>
          <w:szCs w:val="24"/>
        </w:rPr>
        <w:t>.</w:t>
      </w:r>
    </w:p>
    <w:p w14:paraId="12CAF242" w14:textId="77777777" w:rsidR="009A5A03" w:rsidRPr="009A5A03" w:rsidRDefault="009A5A03" w:rsidP="009A5A03">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p>
    <w:p w14:paraId="0DA0FE94" w14:textId="77777777" w:rsidR="009A5A03" w:rsidRPr="009A5A03" w:rsidRDefault="009A5A03" w:rsidP="0014182D">
      <w:pPr>
        <w:pBdr>
          <w:top w:val="nil"/>
          <w:left w:val="nil"/>
          <w:bottom w:val="nil"/>
          <w:right w:val="nil"/>
          <w:between w:val="nil"/>
        </w:pBdr>
        <w:tabs>
          <w:tab w:val="center" w:pos="4680"/>
          <w:tab w:val="right" w:pos="9360"/>
        </w:tabs>
        <w:spacing w:after="0" w:line="240" w:lineRule="auto"/>
        <w:rPr>
          <w:rFonts w:asciiTheme="minorHAnsi" w:hAnsiTheme="minorHAnsi" w:cstheme="minorHAnsi"/>
          <w:bCs/>
          <w:sz w:val="24"/>
          <w:szCs w:val="24"/>
        </w:rPr>
      </w:pPr>
    </w:p>
    <w:sectPr w:rsidR="009A5A03" w:rsidRPr="009A5A03" w:rsidSect="00DE2AAB">
      <w:footerReference w:type="default" r:id="rId26"/>
      <w:head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7C695" w14:textId="77777777" w:rsidR="00BF78E5" w:rsidRDefault="00BF78E5" w:rsidP="000B59C1">
      <w:pPr>
        <w:spacing w:after="0" w:line="240" w:lineRule="auto"/>
      </w:pPr>
      <w:r>
        <w:separator/>
      </w:r>
    </w:p>
  </w:endnote>
  <w:endnote w:type="continuationSeparator" w:id="0">
    <w:p w14:paraId="4D576551" w14:textId="77777777" w:rsidR="00BF78E5" w:rsidRDefault="00BF78E5" w:rsidP="000B5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779569"/>
      <w:docPartObj>
        <w:docPartGallery w:val="Page Numbers (Bottom of Page)"/>
        <w:docPartUnique/>
      </w:docPartObj>
    </w:sdtPr>
    <w:sdtEndPr>
      <w:rPr>
        <w:noProof/>
      </w:rPr>
    </w:sdtEndPr>
    <w:sdtContent>
      <w:p w14:paraId="75F391D9" w14:textId="417D1082" w:rsidR="005A2FC5" w:rsidRDefault="005A2F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7E526B" w14:textId="77777777" w:rsidR="005A2FC5" w:rsidRDefault="005A2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EA3FD" w14:textId="77777777" w:rsidR="00BF78E5" w:rsidRDefault="00BF78E5" w:rsidP="000B59C1">
      <w:pPr>
        <w:spacing w:after="0" w:line="240" w:lineRule="auto"/>
      </w:pPr>
      <w:r>
        <w:separator/>
      </w:r>
    </w:p>
  </w:footnote>
  <w:footnote w:type="continuationSeparator" w:id="0">
    <w:p w14:paraId="00C5FA7F" w14:textId="77777777" w:rsidR="00BF78E5" w:rsidRDefault="00BF78E5" w:rsidP="000B5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D03D" w14:textId="77777777" w:rsidR="00DE2AAB" w:rsidRPr="0056621C" w:rsidRDefault="00DE2AAB" w:rsidP="00DE2AAB">
    <w:pPr>
      <w:pStyle w:val="Header"/>
    </w:pPr>
    <w:r w:rsidRPr="0056621C">
      <w:t>Thara Rashmi Sundaram</w:t>
    </w:r>
  </w:p>
  <w:p w14:paraId="56BD921F" w14:textId="77777777" w:rsidR="00DE2AAB" w:rsidRPr="0056621C" w:rsidRDefault="00DE2AAB" w:rsidP="00DE2AAB">
    <w:pPr>
      <w:pStyle w:val="Header"/>
    </w:pPr>
    <w:r w:rsidRPr="0056621C">
      <w:t>Dublin Jerome High School</w:t>
    </w:r>
  </w:p>
  <w:p w14:paraId="419B808F" w14:textId="77777777" w:rsidR="00DE2AAB" w:rsidRPr="0056621C" w:rsidRDefault="00DE2AAB" w:rsidP="00DE2AAB">
    <w:pPr>
      <w:pStyle w:val="Header"/>
    </w:pPr>
    <w:r w:rsidRPr="0056621C">
      <w:t>Dublin, Ohio, United States</w:t>
    </w:r>
  </w:p>
  <w:p w14:paraId="059FCADD" w14:textId="77777777" w:rsidR="00DE2AAB" w:rsidRPr="0056621C" w:rsidRDefault="00DE2AAB" w:rsidP="00DE2AAB">
    <w:pPr>
      <w:pStyle w:val="Header"/>
    </w:pPr>
    <w:r w:rsidRPr="0056621C">
      <w:t>United Kingdom (Western Europe), Foreign Aid</w:t>
    </w:r>
  </w:p>
  <w:p w14:paraId="5E363CC0" w14:textId="17DAF2B3" w:rsidR="00DE2AAB" w:rsidRPr="0056621C" w:rsidRDefault="0052786C" w:rsidP="00DE2AAB">
    <w:pPr>
      <w:pStyle w:val="Header"/>
    </w:pPr>
    <w:r>
      <w:t>September 1</w:t>
    </w:r>
    <w:r w:rsidR="00DE2AAB" w:rsidRPr="0056621C">
      <w:t>, 2025</w:t>
    </w:r>
  </w:p>
  <w:p w14:paraId="77637558" w14:textId="77777777" w:rsidR="00DE2AAB" w:rsidRDefault="00DE2AAB" w:rsidP="00DE2AAB">
    <w:pPr>
      <w:pStyle w:val="Header"/>
    </w:pPr>
  </w:p>
  <w:p w14:paraId="645A92A4" w14:textId="3D99B2F8" w:rsidR="00DE2AAB" w:rsidRDefault="00DE2AAB">
    <w:pPr>
      <w:pStyle w:val="Header"/>
    </w:pPr>
    <w:r>
      <w:rPr>
        <w:noProof/>
      </w:rPr>
      <mc:AlternateContent>
        <mc:Choice Requires="wps">
          <w:drawing>
            <wp:anchor distT="0" distB="0" distL="114300" distR="114300" simplePos="0" relativeHeight="251659264" behindDoc="0" locked="0" layoutInCell="1" allowOverlap="1" wp14:anchorId="712491CC" wp14:editId="22FA3BF1">
              <wp:simplePos x="0" y="0"/>
              <wp:positionH relativeFrom="column">
                <wp:posOffset>0</wp:posOffset>
              </wp:positionH>
              <wp:positionV relativeFrom="paragraph">
                <wp:posOffset>-635</wp:posOffset>
              </wp:positionV>
              <wp:extent cx="5943600" cy="0"/>
              <wp:effectExtent l="0" t="0" r="0" b="0"/>
              <wp:wrapNone/>
              <wp:docPr id="365968658"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FBFBD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" strokecolor="#7f7f7f [1612]"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C49D9"/>
    <w:multiLevelType w:val="multilevel"/>
    <w:tmpl w:val="895A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926A7"/>
    <w:multiLevelType w:val="hybridMultilevel"/>
    <w:tmpl w:val="34065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480947"/>
    <w:multiLevelType w:val="multilevel"/>
    <w:tmpl w:val="2BF256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5015A8C"/>
    <w:multiLevelType w:val="multilevel"/>
    <w:tmpl w:val="FAF2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D30F19"/>
    <w:multiLevelType w:val="multilevel"/>
    <w:tmpl w:val="AFDC12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1BF1DD3"/>
    <w:multiLevelType w:val="multilevel"/>
    <w:tmpl w:val="9CDE7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F648E6"/>
    <w:multiLevelType w:val="multilevel"/>
    <w:tmpl w:val="D5CEC5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35A35D5F"/>
    <w:multiLevelType w:val="multilevel"/>
    <w:tmpl w:val="BA94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EE1FCD"/>
    <w:multiLevelType w:val="multilevel"/>
    <w:tmpl w:val="4A30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F952E1"/>
    <w:multiLevelType w:val="multilevel"/>
    <w:tmpl w:val="7794E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0C0877"/>
    <w:multiLevelType w:val="multilevel"/>
    <w:tmpl w:val="EA5A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4D4ACB"/>
    <w:multiLevelType w:val="multilevel"/>
    <w:tmpl w:val="0178B6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EC66A17"/>
    <w:multiLevelType w:val="multilevel"/>
    <w:tmpl w:val="99B06C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4B51D4F"/>
    <w:multiLevelType w:val="hybridMultilevel"/>
    <w:tmpl w:val="3A1CC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FF2C46"/>
    <w:multiLevelType w:val="hybridMultilevel"/>
    <w:tmpl w:val="6ECE5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E46C18"/>
    <w:multiLevelType w:val="multilevel"/>
    <w:tmpl w:val="3DF434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51B7C93"/>
    <w:multiLevelType w:val="multilevel"/>
    <w:tmpl w:val="D67A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E6467B"/>
    <w:multiLevelType w:val="multilevel"/>
    <w:tmpl w:val="25B63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8A70F2"/>
    <w:multiLevelType w:val="hybridMultilevel"/>
    <w:tmpl w:val="EA321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7F1C74"/>
    <w:multiLevelType w:val="hybridMultilevel"/>
    <w:tmpl w:val="BF8E1A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5D4639"/>
    <w:multiLevelType w:val="multilevel"/>
    <w:tmpl w:val="528E87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6D2561"/>
    <w:multiLevelType w:val="multilevel"/>
    <w:tmpl w:val="6F8A9D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6F1538B"/>
    <w:multiLevelType w:val="multilevel"/>
    <w:tmpl w:val="96F013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86801AE"/>
    <w:multiLevelType w:val="multilevel"/>
    <w:tmpl w:val="5B0E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260657"/>
    <w:multiLevelType w:val="multilevel"/>
    <w:tmpl w:val="B3262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7C6457"/>
    <w:multiLevelType w:val="hybridMultilevel"/>
    <w:tmpl w:val="6158E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B221D2E"/>
    <w:multiLevelType w:val="multilevel"/>
    <w:tmpl w:val="300A7C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E62479F"/>
    <w:multiLevelType w:val="multilevel"/>
    <w:tmpl w:val="D71626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42368572">
    <w:abstractNumId w:val="24"/>
  </w:num>
  <w:num w:numId="2" w16cid:durableId="669141831">
    <w:abstractNumId w:val="3"/>
  </w:num>
  <w:num w:numId="3" w16cid:durableId="1954970259">
    <w:abstractNumId w:val="5"/>
  </w:num>
  <w:num w:numId="4" w16cid:durableId="185795843">
    <w:abstractNumId w:val="9"/>
  </w:num>
  <w:num w:numId="5" w16cid:durableId="315497491">
    <w:abstractNumId w:val="17"/>
  </w:num>
  <w:num w:numId="6" w16cid:durableId="1317492747">
    <w:abstractNumId w:val="7"/>
  </w:num>
  <w:num w:numId="7" w16cid:durableId="385572307">
    <w:abstractNumId w:val="16"/>
  </w:num>
  <w:num w:numId="8" w16cid:durableId="233394253">
    <w:abstractNumId w:val="19"/>
  </w:num>
  <w:num w:numId="9" w16cid:durableId="853878502">
    <w:abstractNumId w:val="27"/>
  </w:num>
  <w:num w:numId="10" w16cid:durableId="226499396">
    <w:abstractNumId w:val="22"/>
  </w:num>
  <w:num w:numId="11" w16cid:durableId="830604908">
    <w:abstractNumId w:val="15"/>
  </w:num>
  <w:num w:numId="12" w16cid:durableId="1962568165">
    <w:abstractNumId w:val="4"/>
  </w:num>
  <w:num w:numId="13" w16cid:durableId="1067217733">
    <w:abstractNumId w:val="12"/>
  </w:num>
  <w:num w:numId="14" w16cid:durableId="561140809">
    <w:abstractNumId w:val="26"/>
  </w:num>
  <w:num w:numId="15" w16cid:durableId="754664695">
    <w:abstractNumId w:val="10"/>
  </w:num>
  <w:num w:numId="16" w16cid:durableId="450130696">
    <w:abstractNumId w:val="23"/>
  </w:num>
  <w:num w:numId="17" w16cid:durableId="220405653">
    <w:abstractNumId w:val="11"/>
  </w:num>
  <w:num w:numId="18" w16cid:durableId="1868135600">
    <w:abstractNumId w:val="21"/>
  </w:num>
  <w:num w:numId="19" w16cid:durableId="2633037">
    <w:abstractNumId w:val="6"/>
  </w:num>
  <w:num w:numId="20" w16cid:durableId="657852036">
    <w:abstractNumId w:val="0"/>
  </w:num>
  <w:num w:numId="21" w16cid:durableId="1072004232">
    <w:abstractNumId w:val="13"/>
  </w:num>
  <w:num w:numId="22" w16cid:durableId="67772914">
    <w:abstractNumId w:val="18"/>
  </w:num>
  <w:num w:numId="23" w16cid:durableId="1524317744">
    <w:abstractNumId w:val="2"/>
  </w:num>
  <w:num w:numId="24" w16cid:durableId="2050915610">
    <w:abstractNumId w:val="8"/>
  </w:num>
  <w:num w:numId="25" w16cid:durableId="362874395">
    <w:abstractNumId w:val="25"/>
  </w:num>
  <w:num w:numId="26" w16cid:durableId="322512986">
    <w:abstractNumId w:val="14"/>
  </w:num>
  <w:num w:numId="27" w16cid:durableId="563565981">
    <w:abstractNumId w:val="1"/>
  </w:num>
  <w:num w:numId="28" w16cid:durableId="9256475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C1"/>
    <w:rsid w:val="00000D19"/>
    <w:rsid w:val="00002584"/>
    <w:rsid w:val="00006478"/>
    <w:rsid w:val="00036996"/>
    <w:rsid w:val="00036B28"/>
    <w:rsid w:val="00075407"/>
    <w:rsid w:val="00082BCE"/>
    <w:rsid w:val="000A2009"/>
    <w:rsid w:val="000A6E89"/>
    <w:rsid w:val="000B59C1"/>
    <w:rsid w:val="000D20E1"/>
    <w:rsid w:val="000E3283"/>
    <w:rsid w:val="000F4B3B"/>
    <w:rsid w:val="00101BE2"/>
    <w:rsid w:val="00104A5A"/>
    <w:rsid w:val="001202CD"/>
    <w:rsid w:val="00130823"/>
    <w:rsid w:val="0014182D"/>
    <w:rsid w:val="0015742F"/>
    <w:rsid w:val="001717E6"/>
    <w:rsid w:val="001801D1"/>
    <w:rsid w:val="001831EF"/>
    <w:rsid w:val="001A5C8A"/>
    <w:rsid w:val="001B2DE8"/>
    <w:rsid w:val="001D2D18"/>
    <w:rsid w:val="00212708"/>
    <w:rsid w:val="00213725"/>
    <w:rsid w:val="0025309B"/>
    <w:rsid w:val="00255EDE"/>
    <w:rsid w:val="00272481"/>
    <w:rsid w:val="00285612"/>
    <w:rsid w:val="002A3CD8"/>
    <w:rsid w:val="002A48F5"/>
    <w:rsid w:val="002D2549"/>
    <w:rsid w:val="002D4A74"/>
    <w:rsid w:val="002E779D"/>
    <w:rsid w:val="00320EF0"/>
    <w:rsid w:val="00327541"/>
    <w:rsid w:val="00332E06"/>
    <w:rsid w:val="00340136"/>
    <w:rsid w:val="00361A87"/>
    <w:rsid w:val="00362C23"/>
    <w:rsid w:val="003713B4"/>
    <w:rsid w:val="00376BCD"/>
    <w:rsid w:val="00385DC5"/>
    <w:rsid w:val="003A466C"/>
    <w:rsid w:val="003C27F9"/>
    <w:rsid w:val="003D302C"/>
    <w:rsid w:val="003E0E38"/>
    <w:rsid w:val="003F0047"/>
    <w:rsid w:val="003F6E02"/>
    <w:rsid w:val="00406980"/>
    <w:rsid w:val="0042538C"/>
    <w:rsid w:val="00436622"/>
    <w:rsid w:val="004517EB"/>
    <w:rsid w:val="00455D26"/>
    <w:rsid w:val="004658BB"/>
    <w:rsid w:val="00485D91"/>
    <w:rsid w:val="0049033A"/>
    <w:rsid w:val="004A5C8F"/>
    <w:rsid w:val="004B5854"/>
    <w:rsid w:val="004C58B5"/>
    <w:rsid w:val="004C776D"/>
    <w:rsid w:val="004D1866"/>
    <w:rsid w:val="004D2B24"/>
    <w:rsid w:val="004D64DD"/>
    <w:rsid w:val="004E3FF5"/>
    <w:rsid w:val="0051391C"/>
    <w:rsid w:val="00525262"/>
    <w:rsid w:val="0052786C"/>
    <w:rsid w:val="00530A83"/>
    <w:rsid w:val="005552E8"/>
    <w:rsid w:val="0055549B"/>
    <w:rsid w:val="0056621C"/>
    <w:rsid w:val="005938CE"/>
    <w:rsid w:val="005A2FC5"/>
    <w:rsid w:val="005B005B"/>
    <w:rsid w:val="005D3EBC"/>
    <w:rsid w:val="005F70ED"/>
    <w:rsid w:val="00611D1E"/>
    <w:rsid w:val="00612A0C"/>
    <w:rsid w:val="00613E0B"/>
    <w:rsid w:val="00652641"/>
    <w:rsid w:val="006B3B3F"/>
    <w:rsid w:val="006B669A"/>
    <w:rsid w:val="006D6C55"/>
    <w:rsid w:val="006F01D5"/>
    <w:rsid w:val="00754D91"/>
    <w:rsid w:val="00755F95"/>
    <w:rsid w:val="007C136B"/>
    <w:rsid w:val="007C2D30"/>
    <w:rsid w:val="007C40A5"/>
    <w:rsid w:val="007F0E50"/>
    <w:rsid w:val="007F4021"/>
    <w:rsid w:val="00826348"/>
    <w:rsid w:val="008278E6"/>
    <w:rsid w:val="0085138B"/>
    <w:rsid w:val="0085399C"/>
    <w:rsid w:val="008650A2"/>
    <w:rsid w:val="00877386"/>
    <w:rsid w:val="00892602"/>
    <w:rsid w:val="008C2CCA"/>
    <w:rsid w:val="008E74FD"/>
    <w:rsid w:val="008F52AA"/>
    <w:rsid w:val="009001F0"/>
    <w:rsid w:val="00900DA2"/>
    <w:rsid w:val="00912669"/>
    <w:rsid w:val="009758C5"/>
    <w:rsid w:val="00981448"/>
    <w:rsid w:val="009866EE"/>
    <w:rsid w:val="00986C24"/>
    <w:rsid w:val="009A5A03"/>
    <w:rsid w:val="00A27415"/>
    <w:rsid w:val="00A320EF"/>
    <w:rsid w:val="00A52D71"/>
    <w:rsid w:val="00A570F0"/>
    <w:rsid w:val="00A83DDD"/>
    <w:rsid w:val="00A95949"/>
    <w:rsid w:val="00AA0F94"/>
    <w:rsid w:val="00AE0308"/>
    <w:rsid w:val="00AE2B95"/>
    <w:rsid w:val="00B0044F"/>
    <w:rsid w:val="00B0079A"/>
    <w:rsid w:val="00B03088"/>
    <w:rsid w:val="00B04E7B"/>
    <w:rsid w:val="00B10FBC"/>
    <w:rsid w:val="00B2582A"/>
    <w:rsid w:val="00B3314B"/>
    <w:rsid w:val="00B40EAE"/>
    <w:rsid w:val="00B54630"/>
    <w:rsid w:val="00B5681D"/>
    <w:rsid w:val="00B87BAC"/>
    <w:rsid w:val="00BB53C0"/>
    <w:rsid w:val="00BB603A"/>
    <w:rsid w:val="00BC207A"/>
    <w:rsid w:val="00BC75FA"/>
    <w:rsid w:val="00BD3FCD"/>
    <w:rsid w:val="00BF78E5"/>
    <w:rsid w:val="00C00707"/>
    <w:rsid w:val="00C043D9"/>
    <w:rsid w:val="00C143E3"/>
    <w:rsid w:val="00C23568"/>
    <w:rsid w:val="00C3562D"/>
    <w:rsid w:val="00C67911"/>
    <w:rsid w:val="00C7625E"/>
    <w:rsid w:val="00CB345D"/>
    <w:rsid w:val="00CF25A3"/>
    <w:rsid w:val="00CF3DB3"/>
    <w:rsid w:val="00CF70E9"/>
    <w:rsid w:val="00D030CC"/>
    <w:rsid w:val="00D20BB6"/>
    <w:rsid w:val="00D255EF"/>
    <w:rsid w:val="00D34AD5"/>
    <w:rsid w:val="00D47087"/>
    <w:rsid w:val="00D62CA7"/>
    <w:rsid w:val="00D74F98"/>
    <w:rsid w:val="00D87E5F"/>
    <w:rsid w:val="00DD087A"/>
    <w:rsid w:val="00DE25A1"/>
    <w:rsid w:val="00DE2AAB"/>
    <w:rsid w:val="00E131D7"/>
    <w:rsid w:val="00E13F9B"/>
    <w:rsid w:val="00E263F8"/>
    <w:rsid w:val="00E305B2"/>
    <w:rsid w:val="00E33435"/>
    <w:rsid w:val="00E42D7D"/>
    <w:rsid w:val="00E45482"/>
    <w:rsid w:val="00E45DE7"/>
    <w:rsid w:val="00E65CAF"/>
    <w:rsid w:val="00E90AA7"/>
    <w:rsid w:val="00EC4257"/>
    <w:rsid w:val="00EC5927"/>
    <w:rsid w:val="00ED074A"/>
    <w:rsid w:val="00ED3133"/>
    <w:rsid w:val="00EE684E"/>
    <w:rsid w:val="00F11356"/>
    <w:rsid w:val="00F120EE"/>
    <w:rsid w:val="00F22AFF"/>
    <w:rsid w:val="00F56DB4"/>
    <w:rsid w:val="00F75ACB"/>
    <w:rsid w:val="00FA2D48"/>
    <w:rsid w:val="00FB5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8822"/>
  <w15:chartTrackingRefBased/>
  <w15:docId w15:val="{06399217-09C7-451E-B9E8-075C50C7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82D"/>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0B59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59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59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59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59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59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9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9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9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9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59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59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59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59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5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9C1"/>
    <w:rPr>
      <w:rFonts w:eastAsiaTheme="majorEastAsia" w:cstheme="majorBidi"/>
      <w:color w:val="272727" w:themeColor="text1" w:themeTint="D8"/>
    </w:rPr>
  </w:style>
  <w:style w:type="paragraph" w:styleId="Title">
    <w:name w:val="Title"/>
    <w:basedOn w:val="Normal"/>
    <w:next w:val="Normal"/>
    <w:link w:val="TitleChar"/>
    <w:uiPriority w:val="10"/>
    <w:qFormat/>
    <w:rsid w:val="000B5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9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9C1"/>
    <w:pPr>
      <w:spacing w:before="160"/>
      <w:jc w:val="center"/>
    </w:pPr>
    <w:rPr>
      <w:i/>
      <w:iCs/>
      <w:color w:val="404040" w:themeColor="text1" w:themeTint="BF"/>
    </w:rPr>
  </w:style>
  <w:style w:type="character" w:customStyle="1" w:styleId="QuoteChar">
    <w:name w:val="Quote Char"/>
    <w:basedOn w:val="DefaultParagraphFont"/>
    <w:link w:val="Quote"/>
    <w:uiPriority w:val="29"/>
    <w:rsid w:val="000B59C1"/>
    <w:rPr>
      <w:i/>
      <w:iCs/>
      <w:color w:val="404040" w:themeColor="text1" w:themeTint="BF"/>
    </w:rPr>
  </w:style>
  <w:style w:type="paragraph" w:styleId="ListParagraph">
    <w:name w:val="List Paragraph"/>
    <w:basedOn w:val="Normal"/>
    <w:uiPriority w:val="34"/>
    <w:qFormat/>
    <w:rsid w:val="000B59C1"/>
    <w:pPr>
      <w:ind w:left="720"/>
      <w:contextualSpacing/>
    </w:pPr>
  </w:style>
  <w:style w:type="character" w:styleId="IntenseEmphasis">
    <w:name w:val="Intense Emphasis"/>
    <w:basedOn w:val="DefaultParagraphFont"/>
    <w:uiPriority w:val="21"/>
    <w:qFormat/>
    <w:rsid w:val="000B59C1"/>
    <w:rPr>
      <w:i/>
      <w:iCs/>
      <w:color w:val="2F5496" w:themeColor="accent1" w:themeShade="BF"/>
    </w:rPr>
  </w:style>
  <w:style w:type="paragraph" w:styleId="IntenseQuote">
    <w:name w:val="Intense Quote"/>
    <w:basedOn w:val="Normal"/>
    <w:next w:val="Normal"/>
    <w:link w:val="IntenseQuoteChar"/>
    <w:uiPriority w:val="30"/>
    <w:qFormat/>
    <w:rsid w:val="000B59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59C1"/>
    <w:rPr>
      <w:i/>
      <w:iCs/>
      <w:color w:val="2F5496" w:themeColor="accent1" w:themeShade="BF"/>
    </w:rPr>
  </w:style>
  <w:style w:type="character" w:styleId="IntenseReference">
    <w:name w:val="Intense Reference"/>
    <w:basedOn w:val="DefaultParagraphFont"/>
    <w:uiPriority w:val="32"/>
    <w:qFormat/>
    <w:rsid w:val="000B59C1"/>
    <w:rPr>
      <w:b/>
      <w:bCs/>
      <w:smallCaps/>
      <w:color w:val="2F5496" w:themeColor="accent1" w:themeShade="BF"/>
      <w:spacing w:val="5"/>
    </w:rPr>
  </w:style>
  <w:style w:type="paragraph" w:styleId="Header">
    <w:name w:val="header"/>
    <w:basedOn w:val="Normal"/>
    <w:link w:val="HeaderChar"/>
    <w:uiPriority w:val="99"/>
    <w:unhideWhenUsed/>
    <w:rsid w:val="000B5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9C1"/>
  </w:style>
  <w:style w:type="paragraph" w:styleId="Footer">
    <w:name w:val="footer"/>
    <w:basedOn w:val="Normal"/>
    <w:link w:val="FooterChar"/>
    <w:uiPriority w:val="99"/>
    <w:unhideWhenUsed/>
    <w:rsid w:val="000B5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9C1"/>
  </w:style>
  <w:style w:type="character" w:styleId="Hyperlink">
    <w:name w:val="Hyperlink"/>
    <w:basedOn w:val="DefaultParagraphFont"/>
    <w:uiPriority w:val="99"/>
    <w:unhideWhenUsed/>
    <w:rsid w:val="00D74F98"/>
    <w:rPr>
      <w:color w:val="0563C1" w:themeColor="hyperlink"/>
      <w:u w:val="single"/>
    </w:rPr>
  </w:style>
  <w:style w:type="character" w:styleId="UnresolvedMention">
    <w:name w:val="Unresolved Mention"/>
    <w:basedOn w:val="DefaultParagraphFont"/>
    <w:uiPriority w:val="99"/>
    <w:semiHidden/>
    <w:unhideWhenUsed/>
    <w:rsid w:val="00D74F98"/>
    <w:rPr>
      <w:color w:val="605E5C"/>
      <w:shd w:val="clear" w:color="auto" w:fill="E1DFDD"/>
    </w:rPr>
  </w:style>
  <w:style w:type="table" w:styleId="TableGrid">
    <w:name w:val="Table Grid"/>
    <w:basedOn w:val="TableNormal"/>
    <w:uiPriority w:val="59"/>
    <w:rsid w:val="007F4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6E89"/>
    <w:rPr>
      <w:rFonts w:ascii="Times New Roman" w:hAnsi="Times New Roman" w:cs="Times New Roman"/>
      <w:sz w:val="24"/>
      <w:szCs w:val="24"/>
    </w:rPr>
  </w:style>
  <w:style w:type="table" w:styleId="TableGridLight">
    <w:name w:val="Grid Table Light"/>
    <w:basedOn w:val="TableNormal"/>
    <w:uiPriority w:val="40"/>
    <w:rsid w:val="00E263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statistics" TargetMode="External"/><Relationship Id="rId13" Type="http://schemas.openxmlformats.org/officeDocument/2006/relationships/hyperlink" Target="https://www.gov.uk/government/statistics" TargetMode="External"/><Relationship Id="rId18" Type="http://schemas.openxmlformats.org/officeDocument/2006/relationships/hyperlink" Target="https://www.instituteforgovernment.org.uk"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ons.gov.uk" TargetMode="External"/><Relationship Id="rId7" Type="http://schemas.openxmlformats.org/officeDocument/2006/relationships/hyperlink" Target="https://um.dk" TargetMode="External"/><Relationship Id="rId12" Type="http://schemas.openxmlformats.org/officeDocument/2006/relationships/hyperlink" Target="https://foodfoundation.org.uk" TargetMode="External"/><Relationship Id="rId17" Type="http://schemas.openxmlformats.org/officeDocument/2006/relationships/hyperlink" Target="https://www.gov.uk/government/statistics" TargetMode="External"/><Relationship Id="rId25" Type="http://schemas.openxmlformats.org/officeDocument/2006/relationships/hyperlink" Target="https://data.worldbank.org" TargetMode="External"/><Relationship Id="rId2" Type="http://schemas.openxmlformats.org/officeDocument/2006/relationships/styles" Target="styles.xml"/><Relationship Id="rId16" Type="http://schemas.openxmlformats.org/officeDocument/2006/relationships/hyperlink" Target="https://lordslibrary.parliament.uk" TargetMode="External"/><Relationship Id="rId20" Type="http://schemas.openxmlformats.org/officeDocument/2006/relationships/hyperlink" Target="https://obr.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statistics" TargetMode="External"/><Relationship Id="rId24" Type="http://schemas.openxmlformats.org/officeDocument/2006/relationships/hyperlink" Target="https://www.trusselltrust.org" TargetMode="External"/><Relationship Id="rId5" Type="http://schemas.openxmlformats.org/officeDocument/2006/relationships/footnotes" Target="footnotes.xml"/><Relationship Id="rId15" Type="http://schemas.openxmlformats.org/officeDocument/2006/relationships/hyperlink" Target="https://commonslibrary.parliament.uk" TargetMode="External"/><Relationship Id="rId23" Type="http://schemas.openxmlformats.org/officeDocument/2006/relationships/hyperlink" Target="https://odi.org" TargetMode="External"/><Relationship Id="rId28" Type="http://schemas.openxmlformats.org/officeDocument/2006/relationships/fontTable" Target="fontTable.xml"/><Relationship Id="rId10" Type="http://schemas.openxmlformats.org/officeDocument/2006/relationships/hyperlink" Target="https://www.gov.uk/government/statistics" TargetMode="External"/><Relationship Id="rId19" Type="http://schemas.openxmlformats.org/officeDocument/2006/relationships/hyperlink" Target="https://www.jrf.org.uk" TargetMode="External"/><Relationship Id="rId4" Type="http://schemas.openxmlformats.org/officeDocument/2006/relationships/webSettings" Target="webSettings.xml"/><Relationship Id="rId9" Type="http://schemas.openxmlformats.org/officeDocument/2006/relationships/hyperlink" Target="https://www.gov.uk/government/statistics" TargetMode="External"/><Relationship Id="rId14" Type="http://schemas.openxmlformats.org/officeDocument/2006/relationships/hyperlink" Target="https://commonslibrary.parliament.uk" TargetMode="External"/><Relationship Id="rId22" Type="http://schemas.openxmlformats.org/officeDocument/2006/relationships/hyperlink" Target="https://www.ons.gov.uk"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3239</Words>
  <Characters>18464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Sundaram</dc:creator>
  <cp:keywords/>
  <dc:description/>
  <cp:lastModifiedBy>Vijay Sundaram</cp:lastModifiedBy>
  <cp:revision>4</cp:revision>
  <dcterms:created xsi:type="dcterms:W3CDTF">2025-09-02T00:54:00Z</dcterms:created>
  <dcterms:modified xsi:type="dcterms:W3CDTF">2025-09-02T01:45:00Z</dcterms:modified>
</cp:coreProperties>
</file>